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0" w:after="150" w:line="480" w:lineRule="auto"/>
        <w:jc w:val="center"/>
        <w:outlineLvl w:val="0"/>
        <w:rPr>
          <w:rFonts w:ascii="黑体" w:hAnsi="黑体" w:eastAsia="黑体" w:cs="宋体"/>
          <w:b/>
          <w:color w:val="333333"/>
          <w:kern w:val="36"/>
          <w:sz w:val="36"/>
          <w:szCs w:val="36"/>
        </w:rPr>
      </w:pPr>
      <w:r>
        <w:rPr>
          <w:rFonts w:hint="eastAsia" w:ascii="黑体" w:hAnsi="黑体" w:eastAsia="黑体" w:cs="宋体"/>
          <w:b/>
          <w:color w:val="333333"/>
          <w:kern w:val="36"/>
          <w:sz w:val="36"/>
          <w:szCs w:val="36"/>
        </w:rPr>
        <w:t>2019年四川省社会科学规划项目“法治四川专项课题”申报通知</w:t>
      </w:r>
    </w:p>
    <w:p>
      <w:pPr>
        <w:widowControl/>
        <w:shd w:val="clear" w:color="auto" w:fill="FFFFFF"/>
        <w:jc w:val="left"/>
        <w:rPr>
          <w:rFonts w:ascii="仿宋" w:hAnsi="仿宋" w:eastAsia="仿宋" w:cs="宋体"/>
          <w:color w:val="333333"/>
          <w:kern w:val="0"/>
          <w:sz w:val="32"/>
          <w:szCs w:val="32"/>
        </w:rPr>
      </w:pPr>
      <w:r>
        <w:rPr>
          <w:rFonts w:hint="eastAsia" w:ascii="仿宋" w:hAnsi="仿宋" w:eastAsia="仿宋" w:cs="宋体"/>
          <w:color w:val="000000"/>
          <w:kern w:val="0"/>
          <w:sz w:val="32"/>
          <w:szCs w:val="32"/>
        </w:rPr>
        <w:t>各</w:t>
      </w:r>
      <w:r>
        <w:rPr>
          <w:rFonts w:hint="eastAsia" w:ascii="仿宋" w:hAnsi="仿宋" w:eastAsia="仿宋" w:cs="宋体"/>
          <w:color w:val="000000"/>
          <w:kern w:val="0"/>
          <w:sz w:val="32"/>
          <w:szCs w:val="32"/>
          <w:lang w:eastAsia="zh-CN"/>
        </w:rPr>
        <w:t>科研工作者</w:t>
      </w:r>
      <w:r>
        <w:rPr>
          <w:rFonts w:hint="eastAsia" w:ascii="仿宋" w:hAnsi="仿宋" w:eastAsia="仿宋" w:cs="宋体"/>
          <w:color w:val="000000"/>
          <w:kern w:val="0"/>
          <w:sz w:val="32"/>
          <w:szCs w:val="32"/>
        </w:rPr>
        <w:t>：</w:t>
      </w:r>
    </w:p>
    <w:p>
      <w:pPr>
        <w:widowControl/>
        <w:shd w:val="clear" w:color="auto" w:fill="FFFFFF"/>
        <w:ind w:firstLine="600"/>
        <w:jc w:val="left"/>
        <w:rPr>
          <w:rFonts w:ascii="仿宋" w:hAnsi="仿宋" w:eastAsia="仿宋" w:cs="宋体"/>
          <w:color w:val="333333"/>
          <w:kern w:val="0"/>
          <w:sz w:val="32"/>
          <w:szCs w:val="32"/>
        </w:rPr>
      </w:pPr>
      <w:r>
        <w:rPr>
          <w:rFonts w:hint="eastAsia" w:ascii="仿宋" w:hAnsi="仿宋" w:eastAsia="仿宋" w:cs="宋体"/>
          <w:color w:val="000000"/>
          <w:kern w:val="0"/>
          <w:sz w:val="32"/>
          <w:szCs w:val="32"/>
        </w:rPr>
        <w:t>《2019年四川省社会科学规划项目“法治四川专项课题”申报指南》（以下简称《申报指南》，见附件）经中共四川省委政法委、四川省社会科学规划办公室、四川省法学会研究决定，即日起在全省发布。现将项目申报工作的有关事项通知如下：</w:t>
      </w:r>
    </w:p>
    <w:p>
      <w:pPr>
        <w:widowControl/>
        <w:shd w:val="clear" w:color="auto" w:fill="FFFFFF"/>
        <w:ind w:firstLine="600"/>
        <w:jc w:val="left"/>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一、研究指导思想</w:t>
      </w:r>
    </w:p>
    <w:p>
      <w:pPr>
        <w:widowControl/>
        <w:shd w:val="clear" w:color="auto" w:fill="FFFFFF"/>
        <w:ind w:firstLine="600"/>
        <w:jc w:val="left"/>
        <w:rPr>
          <w:rFonts w:ascii="仿宋" w:hAnsi="仿宋" w:eastAsia="仿宋" w:cs="宋体"/>
          <w:color w:val="333333"/>
          <w:kern w:val="0"/>
          <w:sz w:val="32"/>
          <w:szCs w:val="32"/>
        </w:rPr>
      </w:pPr>
      <w:r>
        <w:rPr>
          <w:rFonts w:hint="eastAsia" w:ascii="仿宋" w:hAnsi="仿宋" w:eastAsia="仿宋" w:cs="宋体"/>
          <w:color w:val="000000"/>
          <w:kern w:val="0"/>
          <w:sz w:val="32"/>
          <w:szCs w:val="32"/>
        </w:rPr>
        <w:t>以习近平新时代中国特色社会主义思想为指导，全面推进依法治国、依法治省，紧紧围绕全省经济社会发展的重大法律问题和法治建设中急需解决的重大问题和现实问题，开展基础研究和应用对策研究，全面提升我省法学学科研究水平，努力推进“法治四川”建设，为“治蜀兴川”提供有力的理论指导和学理支撑。</w:t>
      </w:r>
    </w:p>
    <w:p>
      <w:pPr>
        <w:widowControl/>
        <w:shd w:val="clear" w:color="auto" w:fill="FFFFFF"/>
        <w:ind w:firstLine="630" w:firstLineChars="196"/>
        <w:jc w:val="left"/>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二、课题申报方式</w:t>
      </w:r>
    </w:p>
    <w:p>
      <w:pPr>
        <w:widowControl/>
        <w:shd w:val="clear" w:color="auto" w:fill="FFFFFF"/>
        <w:jc w:val="left"/>
        <w:rPr>
          <w:rFonts w:ascii="仿宋" w:hAnsi="仿宋" w:eastAsia="仿宋" w:cs="宋体"/>
          <w:color w:val="333333"/>
          <w:kern w:val="0"/>
          <w:sz w:val="32"/>
          <w:szCs w:val="32"/>
        </w:rPr>
      </w:pPr>
      <w:r>
        <w:rPr>
          <w:rFonts w:hint="eastAsia" w:ascii="仿宋" w:hAnsi="宋体" w:eastAsia="仿宋" w:cs="宋体"/>
          <w:b/>
          <w:bCs/>
          <w:color w:val="000000"/>
          <w:kern w:val="0"/>
          <w:sz w:val="32"/>
          <w:szCs w:val="32"/>
        </w:rPr>
        <w:t>  </w:t>
      </w:r>
      <w:r>
        <w:rPr>
          <w:rFonts w:hint="eastAsia" w:ascii="仿宋" w:hAnsi="仿宋" w:eastAsia="仿宋" w:cs="宋体"/>
          <w:color w:val="000000"/>
          <w:kern w:val="0"/>
          <w:sz w:val="32"/>
          <w:szCs w:val="32"/>
        </w:rPr>
        <w:t>“法治四川专项课题”使用网上申报方式。申报人登录四川省社科规划管理系统（http://118.123.249.131）进行申报。申报流程：①使用真实信息进行注册（如已注册直接使用已有的用户名和密码登录）</w:t>
      </w:r>
      <w:r>
        <w:rPr>
          <w:rFonts w:ascii="仿宋" w:hAnsi="仿宋" w:eastAsia="仿宋" w:cs="Arial"/>
          <w:color w:val="000000"/>
          <w:kern w:val="0"/>
          <w:sz w:val="32"/>
          <w:szCs w:val="32"/>
        </w:rPr>
        <w:t>→</w:t>
      </w:r>
      <w:r>
        <w:rPr>
          <w:rFonts w:ascii="仿宋" w:hAnsi="仿宋" w:eastAsia="仿宋" w:cs="宋体"/>
          <w:color w:val="000000"/>
          <w:kern w:val="0"/>
          <w:sz w:val="32"/>
          <w:szCs w:val="32"/>
        </w:rPr>
        <w:t>②</w:t>
      </w:r>
      <w:r>
        <w:rPr>
          <w:rFonts w:hint="eastAsia" w:ascii="仿宋" w:hAnsi="仿宋" w:eastAsia="仿宋" w:cs="宋体"/>
          <w:color w:val="000000"/>
          <w:kern w:val="0"/>
          <w:sz w:val="32"/>
          <w:szCs w:val="32"/>
        </w:rPr>
        <w:t>进入</w:t>
      </w:r>
      <w:r>
        <w:rPr>
          <w:rFonts w:hint="eastAsia" w:ascii="黑体" w:hAnsi="黑体" w:eastAsia="黑体" w:cs="宋体"/>
          <w:b/>
          <w:bCs/>
          <w:color w:val="000000"/>
          <w:kern w:val="0"/>
          <w:sz w:val="32"/>
          <w:szCs w:val="32"/>
        </w:rPr>
        <w:t>专项项目申报</w:t>
      </w:r>
      <w:r>
        <w:rPr>
          <w:rFonts w:ascii="仿宋" w:hAnsi="仿宋" w:eastAsia="仿宋" w:cs="Arial"/>
          <w:color w:val="000000"/>
          <w:kern w:val="0"/>
          <w:sz w:val="32"/>
          <w:szCs w:val="32"/>
        </w:rPr>
        <w:t>→</w:t>
      </w:r>
      <w:r>
        <w:rPr>
          <w:rFonts w:ascii="仿宋" w:hAnsi="仿宋" w:eastAsia="仿宋" w:cs="宋体"/>
          <w:color w:val="000000"/>
          <w:kern w:val="0"/>
          <w:sz w:val="32"/>
          <w:szCs w:val="32"/>
        </w:rPr>
        <w:t>③</w:t>
      </w:r>
      <w:r>
        <w:rPr>
          <w:rFonts w:hint="eastAsia" w:ascii="仿宋" w:hAnsi="仿宋" w:eastAsia="仿宋" w:cs="宋体"/>
          <w:color w:val="000000"/>
          <w:kern w:val="0"/>
          <w:sz w:val="32"/>
          <w:szCs w:val="32"/>
        </w:rPr>
        <w:t>阅读申报书上传说明</w:t>
      </w:r>
      <w:r>
        <w:rPr>
          <w:rFonts w:ascii="仿宋" w:hAnsi="仿宋" w:eastAsia="仿宋" w:cs="Arial"/>
          <w:color w:val="000000"/>
          <w:kern w:val="0"/>
          <w:sz w:val="32"/>
          <w:szCs w:val="32"/>
        </w:rPr>
        <w:t>→</w:t>
      </w:r>
      <w:r>
        <w:rPr>
          <w:rFonts w:hint="eastAsia" w:ascii="仿宋" w:hAnsi="仿宋" w:eastAsia="仿宋" w:cs="宋体"/>
          <w:color w:val="000000"/>
          <w:kern w:val="0"/>
          <w:sz w:val="32"/>
          <w:szCs w:val="32"/>
        </w:rPr>
        <w:t>④下载申请书</w:t>
      </w:r>
      <w:r>
        <w:rPr>
          <w:rFonts w:ascii="仿宋" w:hAnsi="仿宋" w:eastAsia="仿宋" w:cs="Arial"/>
          <w:color w:val="000000"/>
          <w:kern w:val="0"/>
          <w:sz w:val="32"/>
          <w:szCs w:val="32"/>
        </w:rPr>
        <w:t>→</w:t>
      </w:r>
      <w:r>
        <w:rPr>
          <w:rFonts w:hint="eastAsia" w:ascii="仿宋" w:hAnsi="仿宋" w:eastAsia="仿宋" w:cs="宋体"/>
          <w:color w:val="000000"/>
          <w:kern w:val="0"/>
          <w:sz w:val="32"/>
          <w:szCs w:val="32"/>
        </w:rPr>
        <w:t>⑤填写申请书并保存（可离线填写，填写完成后务必在申请书首页</w:t>
      </w:r>
      <w:r>
        <w:rPr>
          <w:rFonts w:hint="eastAsia" w:ascii="黑体" w:hAnsi="黑体" w:eastAsia="黑体" w:cs="宋体"/>
          <w:color w:val="000000"/>
          <w:kern w:val="0"/>
          <w:sz w:val="32"/>
          <w:szCs w:val="32"/>
        </w:rPr>
        <w:t>点击“检查填报内容并保护文档”按钮</w:t>
      </w:r>
      <w:r>
        <w:rPr>
          <w:rFonts w:hint="eastAsia" w:ascii="仿宋" w:hAnsi="仿宋" w:eastAsia="仿宋" w:cs="宋体"/>
          <w:color w:val="000000"/>
          <w:kern w:val="0"/>
          <w:sz w:val="32"/>
          <w:szCs w:val="32"/>
        </w:rPr>
        <w:t>，a.在基本信息专项分类下拉列表中请务必选择</w:t>
      </w:r>
      <w:r>
        <w:rPr>
          <w:rFonts w:hint="eastAsia" w:ascii="黑体" w:hAnsi="黑体" w:eastAsia="黑体" w:cs="宋体"/>
          <w:color w:val="000000"/>
          <w:kern w:val="0"/>
          <w:sz w:val="32"/>
          <w:szCs w:val="32"/>
        </w:rPr>
        <w:t>“</w:t>
      </w:r>
      <w:r>
        <w:rPr>
          <w:rFonts w:hint="eastAsia" w:ascii="黑体" w:hAnsi="黑体" w:eastAsia="黑体" w:cs="宋体"/>
          <w:b/>
          <w:bCs/>
          <w:color w:val="000000"/>
          <w:kern w:val="0"/>
          <w:sz w:val="32"/>
          <w:szCs w:val="32"/>
        </w:rPr>
        <w:t>法治专项</w:t>
      </w:r>
      <w:r>
        <w:rPr>
          <w:rFonts w:hint="eastAsia" w:ascii="黑体" w:hAnsi="黑体" w:eastAsia="黑体" w:cs="宋体"/>
          <w:color w:val="000000"/>
          <w:kern w:val="0"/>
          <w:sz w:val="32"/>
          <w:szCs w:val="32"/>
        </w:rPr>
        <w:t>”</w:t>
      </w:r>
      <w:r>
        <w:rPr>
          <w:rFonts w:hint="eastAsia" w:ascii="仿宋" w:hAnsi="仿宋" w:eastAsia="仿宋" w:cs="宋体"/>
          <w:color w:val="000000"/>
          <w:kern w:val="0"/>
          <w:sz w:val="32"/>
          <w:szCs w:val="32"/>
        </w:rPr>
        <w:t>，</w:t>
      </w:r>
      <w:r>
        <w:rPr>
          <w:rFonts w:hint="eastAsia" w:ascii="仿宋" w:hAnsi="仿宋" w:eastAsia="仿宋" w:cs="Times New Roman"/>
          <w:color w:val="000000"/>
          <w:kern w:val="0"/>
          <w:sz w:val="32"/>
          <w:szCs w:val="32"/>
        </w:rPr>
        <w:t xml:space="preserve"> b.</w:t>
      </w:r>
      <w:r>
        <w:rPr>
          <w:rFonts w:hint="eastAsia" w:ascii="Times New Roman" w:hAnsi="Times New Roman" w:eastAsia="仿宋" w:cs="Times New Roman"/>
          <w:color w:val="000000"/>
          <w:kern w:val="0"/>
          <w:sz w:val="32"/>
          <w:szCs w:val="32"/>
        </w:rPr>
        <w:t> </w:t>
      </w:r>
      <w:r>
        <w:rPr>
          <w:rFonts w:hint="eastAsia" w:ascii="仿宋" w:hAnsi="仿宋" w:eastAsia="仿宋" w:cs="宋体"/>
          <w:color w:val="000000"/>
          <w:kern w:val="0"/>
          <w:sz w:val="32"/>
          <w:szCs w:val="32"/>
        </w:rPr>
        <w:t>在基本信息申报指南编号中请严格按照《申报指南》中的序号填写，c、在初级审核单位下拉列表中请务必选择本人工作单位，如列表中没有本人工作单位请选择省规划办，</w:t>
      </w:r>
      <w:r>
        <w:rPr>
          <w:rFonts w:hint="eastAsia" w:ascii="仿宋" w:hAnsi="仿宋" w:eastAsia="仿宋" w:cs="Times New Roman"/>
          <w:color w:val="000000"/>
          <w:kern w:val="0"/>
          <w:sz w:val="32"/>
          <w:szCs w:val="32"/>
        </w:rPr>
        <w:t>d</w:t>
      </w:r>
      <w:r>
        <w:rPr>
          <w:rFonts w:hint="eastAsia" w:ascii="仿宋" w:hAnsi="仿宋" w:eastAsia="仿宋" w:cs="宋体"/>
          <w:color w:val="000000"/>
          <w:kern w:val="0"/>
          <w:sz w:val="32"/>
          <w:szCs w:val="32"/>
        </w:rPr>
        <w:t>、本次申报不需填报活页）</w:t>
      </w:r>
      <w:r>
        <w:rPr>
          <w:rFonts w:ascii="仿宋" w:hAnsi="仿宋" w:eastAsia="仿宋" w:cs="Arial"/>
          <w:color w:val="000000"/>
          <w:kern w:val="0"/>
          <w:sz w:val="32"/>
          <w:szCs w:val="32"/>
        </w:rPr>
        <w:t>→</w:t>
      </w:r>
      <w:r>
        <w:rPr>
          <w:rFonts w:hint="eastAsia" w:ascii="仿宋" w:hAnsi="仿宋" w:eastAsia="仿宋" w:cs="宋体"/>
          <w:color w:val="000000"/>
          <w:kern w:val="0"/>
          <w:sz w:val="32"/>
          <w:szCs w:val="32"/>
        </w:rPr>
        <w:t>⑥上传申请书（本次申报不需上传活页，上传后如需修改，请直接修改后在申报截止日期前点击“重传申请书”上传）</w:t>
      </w:r>
      <w:r>
        <w:rPr>
          <w:rFonts w:ascii="仿宋" w:hAnsi="仿宋" w:eastAsia="仿宋" w:cs="Arial"/>
          <w:color w:val="000000"/>
          <w:kern w:val="0"/>
          <w:sz w:val="32"/>
          <w:szCs w:val="32"/>
        </w:rPr>
        <w:t>→</w:t>
      </w:r>
      <w:r>
        <w:rPr>
          <w:rFonts w:hint="eastAsia" w:ascii="仿宋" w:hAnsi="仿宋" w:eastAsia="仿宋" w:cs="宋体"/>
          <w:color w:val="000000"/>
          <w:kern w:val="0"/>
          <w:sz w:val="32"/>
          <w:szCs w:val="32"/>
        </w:rPr>
        <w:t>⑦打印申报书</w:t>
      </w:r>
      <w:r>
        <w:rPr>
          <w:rFonts w:ascii="仿宋" w:hAnsi="仿宋" w:eastAsia="仿宋" w:cs="Arial"/>
          <w:color w:val="000000"/>
          <w:kern w:val="0"/>
          <w:sz w:val="32"/>
          <w:szCs w:val="32"/>
        </w:rPr>
        <w:t>→</w:t>
      </w:r>
      <w:r>
        <w:rPr>
          <w:rFonts w:hint="eastAsia" w:ascii="仿宋" w:hAnsi="仿宋" w:eastAsia="仿宋" w:cs="宋体"/>
          <w:color w:val="000000"/>
          <w:kern w:val="0"/>
          <w:sz w:val="32"/>
          <w:szCs w:val="32"/>
        </w:rPr>
        <w:t>⑧在封面右上角“项目编号”栏填写项目编号（项目编号请申请书上传成功后在管理系统“专项项目管理”</w:t>
      </w:r>
      <w:r>
        <w:rPr>
          <w:rFonts w:ascii="仿宋" w:hAnsi="仿宋" w:eastAsia="仿宋" w:cs="Arial"/>
          <w:color w:val="000000"/>
          <w:kern w:val="0"/>
          <w:sz w:val="32"/>
          <w:szCs w:val="32"/>
        </w:rPr>
        <w:t>－</w:t>
      </w:r>
      <w:r>
        <w:rPr>
          <w:rFonts w:hint="eastAsia" w:ascii="仿宋" w:hAnsi="仿宋" w:eastAsia="仿宋" w:cs="宋体"/>
          <w:color w:val="000000"/>
          <w:kern w:val="0"/>
          <w:sz w:val="32"/>
          <w:szCs w:val="32"/>
        </w:rPr>
        <w:t>“申报管理”页面的“已申报项目列表”查看）。</w:t>
      </w:r>
      <w:r>
        <w:rPr>
          <w:rFonts w:hint="eastAsia" w:ascii="黑体" w:hAnsi="黑体" w:eastAsia="黑体" w:cs="宋体"/>
          <w:b/>
          <w:color w:val="000000"/>
          <w:kern w:val="0"/>
          <w:sz w:val="32"/>
          <w:szCs w:val="32"/>
        </w:rPr>
        <w:t>申报人有申报规定方面的问题可咨询本</w:t>
      </w:r>
      <w:r>
        <w:rPr>
          <w:rFonts w:hint="eastAsia" w:ascii="黑体" w:hAnsi="黑体" w:eastAsia="黑体" w:cs="宋体"/>
          <w:b/>
          <w:color w:val="000000"/>
          <w:kern w:val="0"/>
          <w:sz w:val="32"/>
          <w:szCs w:val="32"/>
          <w:lang w:eastAsia="zh-CN"/>
        </w:rPr>
        <w:t>西南医科大学附属中医医院科研部，</w:t>
      </w:r>
      <w:r>
        <w:rPr>
          <w:rFonts w:hint="eastAsia" w:ascii="黑体" w:hAnsi="黑体" w:eastAsia="黑体" w:cs="宋体"/>
          <w:b/>
          <w:color w:val="000000"/>
          <w:kern w:val="0"/>
          <w:sz w:val="32"/>
          <w:szCs w:val="32"/>
        </w:rPr>
        <w:t>有技术问题可联系技术支持（电话：</w:t>
      </w:r>
      <w:r>
        <w:rPr>
          <w:rFonts w:ascii="黑体" w:hAnsi="黑体" w:eastAsia="黑体" w:cs="宋体"/>
          <w:b/>
          <w:color w:val="000000"/>
          <w:kern w:val="0"/>
          <w:sz w:val="32"/>
          <w:szCs w:val="32"/>
        </w:rPr>
        <w:t>4008001636</w:t>
      </w:r>
      <w:r>
        <w:rPr>
          <w:rFonts w:hint="eastAsia" w:ascii="黑体" w:hAnsi="黑体" w:eastAsia="黑体" w:cs="宋体"/>
          <w:b/>
          <w:color w:val="000000"/>
          <w:kern w:val="0"/>
          <w:sz w:val="32"/>
          <w:szCs w:val="32"/>
        </w:rPr>
        <w:t>）。</w:t>
      </w:r>
      <w:r>
        <w:rPr>
          <w:rFonts w:hint="eastAsia" w:ascii="仿宋" w:hAnsi="仿宋" w:eastAsia="仿宋"/>
          <w:sz w:val="32"/>
          <w:szCs w:val="32"/>
        </w:rPr>
        <w:t>纸质申请书请交单位科研</w:t>
      </w:r>
      <w:r>
        <w:rPr>
          <w:rFonts w:hint="eastAsia" w:ascii="仿宋" w:hAnsi="仿宋" w:eastAsia="仿宋"/>
          <w:sz w:val="32"/>
          <w:szCs w:val="32"/>
          <w:lang w:eastAsia="zh-CN"/>
        </w:rPr>
        <w:t>部</w:t>
      </w:r>
      <w:r>
        <w:rPr>
          <w:rFonts w:hint="eastAsia" w:ascii="仿宋" w:hAnsi="仿宋" w:eastAsia="仿宋"/>
          <w:sz w:val="32"/>
          <w:szCs w:val="32"/>
        </w:rPr>
        <w:t>，由科研部报送到</w:t>
      </w:r>
      <w:r>
        <w:rPr>
          <w:rFonts w:hint="eastAsia" w:ascii="仿宋" w:hAnsi="仿宋" w:eastAsia="仿宋"/>
          <w:sz w:val="32"/>
          <w:szCs w:val="32"/>
          <w:lang w:eastAsia="zh-CN"/>
        </w:rPr>
        <w:t>西南医科大学科技处</w:t>
      </w:r>
      <w:r>
        <w:rPr>
          <w:rFonts w:hint="eastAsia" w:ascii="仿宋" w:hAnsi="仿宋" w:eastAsia="仿宋"/>
          <w:sz w:val="32"/>
          <w:szCs w:val="32"/>
        </w:rPr>
        <w:t>。</w:t>
      </w:r>
    </w:p>
    <w:p>
      <w:pPr>
        <w:widowControl/>
        <w:shd w:val="clear" w:color="auto" w:fill="FFFFFF"/>
        <w:ind w:firstLine="600"/>
        <w:jc w:val="left"/>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三、课题申报组织和管理要求</w:t>
      </w:r>
    </w:p>
    <w:p>
      <w:pPr>
        <w:widowControl/>
        <w:shd w:val="clear" w:color="auto" w:fill="FFFFFF"/>
        <w:ind w:firstLine="600"/>
        <w:jc w:val="left"/>
        <w:rPr>
          <w:rFonts w:ascii="仿宋" w:hAnsi="仿宋" w:eastAsia="仿宋" w:cs="宋体"/>
          <w:color w:val="333333"/>
          <w:kern w:val="0"/>
          <w:sz w:val="32"/>
          <w:szCs w:val="32"/>
        </w:rPr>
      </w:pPr>
      <w:r>
        <w:rPr>
          <w:rFonts w:hint="eastAsia" w:ascii="仿宋" w:hAnsi="仿宋" w:eastAsia="仿宋" w:cs="宋体"/>
          <w:color w:val="000000"/>
          <w:kern w:val="0"/>
          <w:sz w:val="32"/>
          <w:szCs w:val="32"/>
        </w:rPr>
        <w:t>“法治四川专项课题”属于省级课题，其管理和结项参见《四川省哲学社会科学规划项目管理办法》。</w:t>
      </w:r>
      <w:r>
        <w:rPr>
          <w:rFonts w:hint="eastAsia" w:ascii="黑体" w:hAnsi="黑体" w:eastAsia="黑体" w:cs="宋体"/>
          <w:b/>
          <w:bCs/>
          <w:color w:val="000000"/>
          <w:kern w:val="0"/>
          <w:sz w:val="32"/>
          <w:szCs w:val="32"/>
        </w:rPr>
        <w:t>课题要求自立项之日起10个月内提交结题材料，不得延期，成果形式为研究报告。</w:t>
      </w:r>
      <w:r>
        <w:rPr>
          <w:rFonts w:hint="eastAsia" w:ascii="仿宋" w:hAnsi="仿宋" w:eastAsia="仿宋" w:cs="宋体"/>
          <w:color w:val="000000"/>
          <w:kern w:val="0"/>
          <w:sz w:val="32"/>
          <w:szCs w:val="32"/>
        </w:rPr>
        <w:t>本次立项总数20项，其中重点项目10项，每项资助金额5万元；一般项目和青年项目10项，每项资助金额2万元。</w:t>
      </w:r>
    </w:p>
    <w:p>
      <w:pPr>
        <w:widowControl/>
        <w:shd w:val="clear" w:color="auto" w:fill="FFFFFF"/>
        <w:ind w:firstLine="600"/>
        <w:jc w:val="left"/>
        <w:rPr>
          <w:rFonts w:ascii="仿宋" w:hAnsi="仿宋" w:eastAsia="仿宋" w:cs="宋体"/>
          <w:color w:val="333333"/>
          <w:kern w:val="0"/>
          <w:sz w:val="32"/>
          <w:szCs w:val="32"/>
        </w:rPr>
      </w:pPr>
      <w:r>
        <w:rPr>
          <w:rFonts w:hint="eastAsia" w:ascii="仿宋" w:hAnsi="仿宋" w:eastAsia="仿宋" w:cs="宋体"/>
          <w:color w:val="000000"/>
          <w:kern w:val="0"/>
          <w:sz w:val="32"/>
          <w:szCs w:val="32"/>
        </w:rPr>
        <w:t>课题申报单位与个人应加强项目申报工作的组织指导和审核，保证申报质量。申报单位与个人须按照《申报指南》规定的课题方向选择申报，课题应充分反映相关研究领域的新进展，倡导原创性和开拓性研究，要体现时代特点，着眼于当代中国国情和四川省情，提出的结论要有创新性、可操作性、前瞻性。申报课题由中共四川省委政法委、四川省社科规划办公室、四川省法学会联合组织专家评审后立项。</w:t>
      </w:r>
    </w:p>
    <w:p>
      <w:pPr>
        <w:widowControl/>
        <w:shd w:val="clear" w:color="auto" w:fill="FFFFFF"/>
        <w:ind w:firstLine="600"/>
        <w:jc w:val="left"/>
        <w:rPr>
          <w:rFonts w:ascii="仿宋" w:hAnsi="仿宋" w:eastAsia="仿宋" w:cs="宋体"/>
          <w:color w:val="333333"/>
          <w:kern w:val="0"/>
          <w:sz w:val="32"/>
          <w:szCs w:val="32"/>
        </w:rPr>
      </w:pPr>
      <w:r>
        <w:rPr>
          <w:rFonts w:hint="eastAsia" w:ascii="仿宋" w:hAnsi="仿宋" w:eastAsia="仿宋" w:cs="宋体"/>
          <w:color w:val="000000"/>
          <w:kern w:val="0"/>
          <w:sz w:val="32"/>
          <w:szCs w:val="32"/>
        </w:rPr>
        <w:t>课题立项后，课题组要及时将最新、最有价值的阶段性研究成果报送四川省社会科学研究《重要成果专报》稿件1篇以上，以此作为结题要件。</w:t>
      </w:r>
    </w:p>
    <w:p>
      <w:pPr>
        <w:widowControl/>
        <w:shd w:val="clear" w:color="auto" w:fill="FFFFFF"/>
        <w:ind w:firstLine="600"/>
        <w:jc w:val="left"/>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四、申报资格</w:t>
      </w:r>
    </w:p>
    <w:p>
      <w:pPr>
        <w:widowControl/>
        <w:shd w:val="clear" w:color="auto" w:fill="FFFFFF"/>
        <w:ind w:firstLine="600"/>
        <w:jc w:val="left"/>
        <w:rPr>
          <w:rFonts w:ascii="仿宋" w:hAnsi="仿宋" w:eastAsia="仿宋" w:cs="宋体"/>
          <w:color w:val="333333"/>
          <w:kern w:val="0"/>
          <w:sz w:val="32"/>
          <w:szCs w:val="32"/>
        </w:rPr>
      </w:pPr>
      <w:r>
        <w:rPr>
          <w:rFonts w:hint="eastAsia" w:ascii="仿宋" w:hAnsi="仿宋" w:eastAsia="仿宋" w:cs="宋体"/>
          <w:color w:val="000000"/>
          <w:kern w:val="0"/>
          <w:sz w:val="32"/>
          <w:szCs w:val="32"/>
        </w:rPr>
        <w:t>重点项目申报人须具有正高级专业技术职称或厅级行政领导职务；一般项目申报人须具有副高级以上（含副高）专业技术职称或处级以上（含处级）行政职务，或已取得博士学位；青年项目申报人和课题组成员的年龄均不超过35周岁（1984年6月10日后出生）。承担在研国家社科基金项目或省社科规划项目者不得申报。</w:t>
      </w:r>
    </w:p>
    <w:p>
      <w:pPr>
        <w:widowControl/>
        <w:shd w:val="clear" w:color="auto" w:fill="FFFFFF"/>
        <w:ind w:firstLine="600"/>
        <w:jc w:val="left"/>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五、报送材料</w:t>
      </w:r>
    </w:p>
    <w:p>
      <w:pPr>
        <w:widowControl/>
        <w:shd w:val="clear" w:color="auto" w:fill="FFFFFF"/>
        <w:ind w:firstLine="600"/>
        <w:jc w:val="left"/>
        <w:rPr>
          <w:rFonts w:ascii="仿宋" w:hAnsi="仿宋" w:eastAsia="仿宋" w:cs="宋体"/>
          <w:color w:val="333333"/>
          <w:kern w:val="0"/>
          <w:sz w:val="32"/>
          <w:szCs w:val="32"/>
        </w:rPr>
      </w:pPr>
      <w:r>
        <w:rPr>
          <w:rFonts w:hint="eastAsia" w:ascii="仿宋" w:hAnsi="仿宋" w:eastAsia="仿宋" w:cs="宋体"/>
          <w:color w:val="000000"/>
          <w:kern w:val="0"/>
          <w:sz w:val="32"/>
          <w:szCs w:val="32"/>
          <w:lang w:eastAsia="zh-CN"/>
        </w:rPr>
        <w:t>报送材料：</w:t>
      </w:r>
      <w:r>
        <w:rPr>
          <w:rFonts w:hint="eastAsia" w:ascii="仿宋" w:hAnsi="仿宋" w:eastAsia="仿宋" w:cs="宋体"/>
          <w:color w:val="000000"/>
          <w:kern w:val="0"/>
          <w:sz w:val="32"/>
          <w:szCs w:val="32"/>
        </w:rPr>
        <w:t>纸质</w:t>
      </w:r>
      <w:r>
        <w:rPr>
          <w:rFonts w:hint="eastAsia" w:ascii="仿宋" w:hAnsi="仿宋" w:eastAsia="仿宋" w:cs="宋体"/>
          <w:color w:val="000000"/>
          <w:kern w:val="0"/>
          <w:sz w:val="32"/>
          <w:szCs w:val="32"/>
          <w:lang w:eastAsia="zh-CN"/>
        </w:rPr>
        <w:t>版</w:t>
      </w:r>
      <w:r>
        <w:rPr>
          <w:rFonts w:hint="eastAsia" w:ascii="仿宋" w:hAnsi="仿宋" w:eastAsia="仿宋" w:cs="宋体"/>
          <w:color w:val="000000"/>
          <w:kern w:val="0"/>
          <w:sz w:val="32"/>
          <w:szCs w:val="32"/>
        </w:rPr>
        <w:t>《四川省社会科学研究规划项目申请书》。《申请书》用A3纸双面打印，中缝装订，一式4份（含原件一份）。《申请书》封面右上角“项目编号”栏请务必按照四川省社科规划管理系统提示填写。</w:t>
      </w:r>
    </w:p>
    <w:p>
      <w:pPr>
        <w:widowControl/>
        <w:shd w:val="clear" w:color="auto" w:fill="FFFFFF"/>
        <w:ind w:firstLine="600"/>
        <w:jc w:val="left"/>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六、申报时间</w:t>
      </w:r>
    </w:p>
    <w:p>
      <w:pPr>
        <w:ind w:firstLine="643" w:firstLineChars="200"/>
        <w:rPr>
          <w:rFonts w:ascii="仿宋" w:hAnsi="仿宋" w:eastAsia="仿宋"/>
          <w:sz w:val="32"/>
          <w:szCs w:val="32"/>
        </w:rPr>
      </w:pPr>
      <w:r>
        <w:rPr>
          <w:rFonts w:hint="eastAsia" w:ascii="仿宋" w:hAnsi="仿宋" w:eastAsia="仿宋"/>
          <w:b/>
          <w:bCs/>
          <w:sz w:val="32"/>
          <w:szCs w:val="32"/>
        </w:rPr>
        <w:t>申报</w:t>
      </w:r>
      <w:r>
        <w:rPr>
          <w:rFonts w:hint="eastAsia" w:ascii="仿宋" w:hAnsi="仿宋" w:eastAsia="仿宋"/>
          <w:b/>
          <w:bCs/>
          <w:sz w:val="32"/>
          <w:szCs w:val="32"/>
          <w:lang w:eastAsia="zh-CN"/>
        </w:rPr>
        <w:t>人员务必在</w:t>
      </w:r>
      <w:r>
        <w:rPr>
          <w:rFonts w:hint="eastAsia" w:ascii="仿宋" w:hAnsi="仿宋" w:eastAsia="仿宋"/>
          <w:b/>
          <w:bCs/>
          <w:sz w:val="32"/>
          <w:szCs w:val="32"/>
        </w:rPr>
        <w:t>2019年6月</w:t>
      </w:r>
      <w:r>
        <w:rPr>
          <w:rFonts w:hint="eastAsia" w:ascii="仿宋" w:hAnsi="仿宋" w:eastAsia="仿宋"/>
          <w:b/>
          <w:bCs/>
          <w:sz w:val="32"/>
          <w:szCs w:val="32"/>
          <w:lang w:val="en-US" w:eastAsia="zh-CN"/>
        </w:rPr>
        <w:t>7</w:t>
      </w:r>
      <w:r>
        <w:rPr>
          <w:rFonts w:hint="eastAsia" w:ascii="仿宋" w:hAnsi="仿宋" w:eastAsia="仿宋"/>
          <w:b/>
          <w:bCs/>
          <w:sz w:val="32"/>
          <w:szCs w:val="32"/>
        </w:rPr>
        <w:t>日</w:t>
      </w:r>
      <w:r>
        <w:rPr>
          <w:rFonts w:hint="eastAsia" w:ascii="仿宋" w:hAnsi="仿宋" w:eastAsia="仿宋"/>
          <w:b/>
          <w:bCs/>
          <w:sz w:val="32"/>
          <w:szCs w:val="32"/>
          <w:lang w:eastAsia="zh-CN"/>
        </w:rPr>
        <w:t>前将申报材料上报到西南医科大学附属中医医院科研部</w:t>
      </w:r>
      <w:r>
        <w:rPr>
          <w:rFonts w:hint="eastAsia" w:ascii="仿宋" w:hAnsi="仿宋" w:eastAsia="仿宋"/>
          <w:sz w:val="32"/>
          <w:szCs w:val="32"/>
        </w:rPr>
        <w:t>，</w:t>
      </w:r>
      <w:r>
        <w:rPr>
          <w:rFonts w:hint="eastAsia" w:ascii="仿宋" w:hAnsi="仿宋" w:eastAsia="仿宋"/>
          <w:sz w:val="32"/>
          <w:szCs w:val="32"/>
          <w:lang w:eastAsia="zh-CN"/>
        </w:rPr>
        <w:t>如有疑问请联系</w:t>
      </w:r>
      <w:r>
        <w:rPr>
          <w:rFonts w:hint="eastAsia" w:ascii="仿宋" w:hAnsi="仿宋" w:eastAsia="仿宋"/>
          <w:sz w:val="32"/>
          <w:szCs w:val="32"/>
          <w:lang w:val="en-US" w:eastAsia="zh-CN"/>
        </w:rPr>
        <w:t>0830-3160823</w:t>
      </w:r>
      <w:r>
        <w:rPr>
          <w:rFonts w:hint="eastAsia" w:ascii="仿宋" w:hAnsi="仿宋" w:eastAsia="仿宋"/>
          <w:sz w:val="32"/>
          <w:szCs w:val="32"/>
        </w:rPr>
        <w:t>。逾期不予受理。</w:t>
      </w:r>
    </w:p>
    <w:p>
      <w:pPr>
        <w:widowControl/>
        <w:shd w:val="clear" w:color="auto" w:fill="FFFFFF"/>
        <w:ind w:firstLine="600"/>
        <w:jc w:val="left"/>
        <w:rPr>
          <w:rFonts w:ascii="仿宋" w:hAnsi="仿宋" w:eastAsia="仿宋" w:cs="宋体"/>
          <w:color w:val="000000"/>
          <w:kern w:val="0"/>
          <w:sz w:val="32"/>
          <w:szCs w:val="32"/>
        </w:rPr>
      </w:pPr>
    </w:p>
    <w:p>
      <w:pPr>
        <w:widowControl/>
        <w:shd w:val="clear" w:color="auto" w:fill="FFFFFF"/>
        <w:ind w:firstLine="600"/>
        <w:jc w:val="left"/>
        <w:rPr>
          <w:rFonts w:ascii="仿宋" w:hAnsi="仿宋" w:eastAsia="仿宋" w:cs="宋体"/>
          <w:color w:val="333333"/>
          <w:kern w:val="0"/>
          <w:sz w:val="32"/>
          <w:szCs w:val="32"/>
        </w:rPr>
      </w:pPr>
      <w:r>
        <w:rPr>
          <w:rFonts w:hint="eastAsia" w:ascii="仿宋" w:hAnsi="仿宋" w:eastAsia="仿宋" w:cs="宋体"/>
          <w:color w:val="000000"/>
          <w:kern w:val="0"/>
          <w:sz w:val="32"/>
          <w:szCs w:val="32"/>
        </w:rPr>
        <w:t>附件：申报指南</w:t>
      </w:r>
    </w:p>
    <w:p>
      <w:pPr>
        <w:rPr>
          <w:rFonts w:ascii="仿宋" w:hAnsi="仿宋" w:eastAsia="仿宋"/>
          <w:sz w:val="32"/>
          <w:szCs w:val="32"/>
        </w:rPr>
      </w:pPr>
    </w:p>
    <w:p>
      <w:pPr>
        <w:jc w:val="right"/>
        <w:rPr>
          <w:rFonts w:hint="eastAsia" w:ascii="仿宋" w:hAnsi="仿宋" w:eastAsia="仿宋"/>
          <w:sz w:val="32"/>
          <w:szCs w:val="32"/>
          <w:lang w:eastAsia="zh-CN"/>
        </w:rPr>
      </w:pPr>
      <w:r>
        <w:rPr>
          <w:rFonts w:hint="eastAsia" w:ascii="仿宋" w:hAnsi="仿宋" w:eastAsia="仿宋"/>
          <w:sz w:val="32"/>
          <w:szCs w:val="32"/>
          <w:lang w:eastAsia="zh-CN"/>
        </w:rPr>
        <w:t>西南医科大学附属中医医院科研部</w:t>
      </w:r>
    </w:p>
    <w:p>
      <w:pPr>
        <w:ind w:firstLine="4000" w:firstLineChars="125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2019年5月23</w:t>
      </w:r>
      <w:bookmarkStart w:id="0" w:name="_GoBack"/>
      <w:bookmarkEnd w:id="0"/>
      <w:r>
        <w:rPr>
          <w:rFonts w:hint="eastAsia" w:ascii="仿宋" w:hAnsi="仿宋" w:eastAsia="仿宋"/>
          <w:sz w:val="32"/>
          <w:szCs w:val="32"/>
          <w:lang w:val="en-US" w:eastAsia="zh-CN"/>
        </w:rPr>
        <w:t>日</w:t>
      </w:r>
    </w:p>
    <w:p>
      <w:pPr>
        <w:widowControl/>
        <w:shd w:val="clear" w:color="auto" w:fill="FFFFFF"/>
        <w:ind w:firstLine="600"/>
        <w:jc w:val="left"/>
        <w:rPr>
          <w:rFonts w:hint="eastAsia" w:ascii="微软雅黑" w:hAnsi="微软雅黑" w:eastAsia="仿宋" w:cs="宋体"/>
          <w:color w:val="333333"/>
          <w:kern w:val="0"/>
          <w:sz w:val="32"/>
          <w:szCs w:val="32"/>
          <w:lang w:val="en-US" w:eastAsia="zh-CN"/>
        </w:rPr>
      </w:pPr>
    </w:p>
    <w:p>
      <w:pPr>
        <w:widowControl/>
        <w:shd w:val="clear" w:color="auto" w:fill="FFFFFF"/>
        <w:ind w:firstLine="600"/>
        <w:jc w:val="left"/>
        <w:rPr>
          <w:rFonts w:ascii="微软雅黑" w:hAnsi="微软雅黑" w:eastAsia="仿宋" w:cs="宋体"/>
          <w:color w:val="333333"/>
          <w:kern w:val="0"/>
          <w:sz w:val="32"/>
          <w:szCs w:val="32"/>
        </w:rPr>
      </w:pPr>
    </w:p>
    <w:p>
      <w:pPr>
        <w:widowControl/>
        <w:shd w:val="clear" w:color="auto" w:fill="FFFFFF"/>
        <w:ind w:firstLine="600"/>
        <w:jc w:val="left"/>
        <w:rPr>
          <w:rFonts w:ascii="微软雅黑" w:hAnsi="微软雅黑" w:eastAsia="仿宋" w:cs="宋体"/>
          <w:color w:val="333333"/>
          <w:kern w:val="0"/>
          <w:sz w:val="32"/>
          <w:szCs w:val="32"/>
        </w:rPr>
      </w:pPr>
    </w:p>
    <w:p>
      <w:pPr>
        <w:widowControl/>
        <w:shd w:val="clear" w:color="auto" w:fill="FFFFFF"/>
        <w:ind w:firstLine="600"/>
        <w:jc w:val="left"/>
        <w:rPr>
          <w:rFonts w:ascii="微软雅黑" w:hAnsi="微软雅黑" w:eastAsia="仿宋" w:cs="宋体"/>
          <w:color w:val="333333"/>
          <w:kern w:val="0"/>
          <w:sz w:val="32"/>
          <w:szCs w:val="32"/>
        </w:rPr>
      </w:pPr>
    </w:p>
    <w:p>
      <w:pPr>
        <w:widowControl/>
        <w:shd w:val="clear" w:color="auto" w:fill="FFFFFF"/>
        <w:ind w:firstLine="600"/>
        <w:jc w:val="left"/>
        <w:rPr>
          <w:rFonts w:ascii="微软雅黑" w:hAnsi="微软雅黑" w:eastAsia="仿宋" w:cs="宋体"/>
          <w:color w:val="333333"/>
          <w:kern w:val="0"/>
          <w:sz w:val="32"/>
          <w:szCs w:val="32"/>
        </w:rPr>
      </w:pPr>
    </w:p>
    <w:p>
      <w:pPr>
        <w:widowControl/>
        <w:shd w:val="clear" w:color="auto" w:fill="FFFFFF"/>
        <w:ind w:firstLine="600"/>
        <w:jc w:val="left"/>
        <w:rPr>
          <w:rFonts w:ascii="微软雅黑" w:hAnsi="微软雅黑" w:eastAsia="仿宋" w:cs="宋体"/>
          <w:color w:val="333333"/>
          <w:kern w:val="0"/>
          <w:sz w:val="32"/>
          <w:szCs w:val="32"/>
        </w:rPr>
      </w:pPr>
    </w:p>
    <w:p>
      <w:pPr>
        <w:widowControl/>
        <w:shd w:val="clear" w:color="auto" w:fill="FFFFFF"/>
        <w:ind w:firstLine="600"/>
        <w:jc w:val="left"/>
        <w:rPr>
          <w:rFonts w:ascii="微软雅黑" w:hAnsi="微软雅黑" w:eastAsia="仿宋" w:cs="宋体"/>
          <w:color w:val="333333"/>
          <w:kern w:val="0"/>
          <w:sz w:val="32"/>
          <w:szCs w:val="32"/>
        </w:rPr>
      </w:pPr>
    </w:p>
    <w:p>
      <w:pPr>
        <w:widowControl/>
        <w:shd w:val="clear" w:color="auto" w:fill="FFFFFF"/>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附件</w:t>
      </w:r>
    </w:p>
    <w:p>
      <w:pPr>
        <w:widowControl/>
        <w:shd w:val="clear" w:color="auto" w:fill="FFFFFF"/>
        <w:jc w:val="left"/>
        <w:rPr>
          <w:rFonts w:ascii="仿宋" w:hAnsi="仿宋" w:eastAsia="仿宋" w:cs="宋体"/>
          <w:b/>
          <w:color w:val="333333"/>
          <w:kern w:val="0"/>
          <w:sz w:val="32"/>
          <w:szCs w:val="32"/>
        </w:rPr>
      </w:pPr>
    </w:p>
    <w:p>
      <w:pPr>
        <w:widowControl/>
        <w:shd w:val="clear" w:color="auto" w:fill="FFFFFF"/>
        <w:jc w:val="center"/>
        <w:rPr>
          <w:rFonts w:ascii="黑体" w:hAnsi="黑体" w:eastAsia="黑体" w:cs="宋体"/>
          <w:b/>
          <w:bCs/>
          <w:color w:val="000000"/>
          <w:kern w:val="0"/>
          <w:sz w:val="36"/>
          <w:szCs w:val="36"/>
        </w:rPr>
      </w:pPr>
      <w:r>
        <w:rPr>
          <w:rFonts w:hint="eastAsia" w:ascii="黑体" w:hAnsi="黑体" w:eastAsia="黑体" w:cs="宋体"/>
          <w:b/>
          <w:bCs/>
          <w:color w:val="000000"/>
          <w:kern w:val="0"/>
          <w:sz w:val="36"/>
          <w:szCs w:val="36"/>
        </w:rPr>
        <w:t>申 报 指 南</w:t>
      </w:r>
    </w:p>
    <w:p>
      <w:pPr>
        <w:widowControl/>
        <w:shd w:val="clear" w:color="auto" w:fill="FFFFFF"/>
        <w:jc w:val="center"/>
        <w:rPr>
          <w:rFonts w:ascii="黑体" w:hAnsi="黑体" w:eastAsia="黑体" w:cs="宋体"/>
          <w:color w:val="333333"/>
          <w:kern w:val="0"/>
          <w:sz w:val="36"/>
          <w:szCs w:val="36"/>
        </w:rPr>
      </w:pP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1</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.“一带一路”工程建设项目法律风险防范</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2</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.“一带一路”倡议下跨境劳工权益的法律保护</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3</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.“一带一路”沿线国家知识产权协助机制研究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4</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 白酒国际文化传播中的知识产权保护研究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5</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 四川涉外企业营商环境的法治评估机制构建研究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6</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 民营企业保护机制完善与地方营商环境改善良性互动研究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7</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 四川省知识产权检验鉴定机制研究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8. 四川基层社会治理创新经验的立法支持研究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9. 基层社会治理的司法介入尺度和模式问题研究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10.</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多元矛盾纠纷化解与调解前置程序研究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11.</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基层社会心理服务体系建设路径探讨</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12.</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四川少数民族地区非物质文化遗产保护与传承法律制度研究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13.</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省级地方宗教事务法治化研究——以《四川省宗教条例》的修订为例</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14.</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长江上游生态屏障建设的法治保障研究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15.</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四川政府信息公开“缠讼”问题应对研究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16.</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食药领域检察公益诉讼制度的建设与思考</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17.</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行政公益诉讼检察建议适用情况研究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18.</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宅基地空间利用背景下的农民住房财产权创新流转机制研究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19.</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军民融合创新发展中法治保障热点问题研究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20.</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大数据与个人隐私权保护</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21.</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扶贫开发精准立法服务保障</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22.</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我国个人破产制度的立法规制研究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23.</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新时期个人极端案事件防控对策研究</w:t>
      </w:r>
    </w:p>
    <w:p>
      <w:pPr>
        <w:spacing w:line="600" w:lineRule="exact"/>
        <w:ind w:firstLine="664" w:firstLineChars="200"/>
        <w:rPr>
          <w:rFonts w:ascii="仿宋" w:hAnsi="仿宋" w:eastAsia="仿宋" w:cs="Times New Roman"/>
          <w:spacing w:val="6"/>
          <w:sz w:val="32"/>
          <w:szCs w:val="32"/>
        </w:rPr>
      </w:pPr>
      <w:r>
        <w:rPr>
          <w:rFonts w:hint="eastAsia" w:ascii="仿宋" w:hAnsi="仿宋" w:eastAsia="仿宋" w:cs="Times New Roman"/>
          <w:spacing w:val="6"/>
          <w:sz w:val="32"/>
          <w:szCs w:val="32"/>
        </w:rPr>
        <w:t>24.</w:t>
      </w:r>
      <w:r>
        <w:rPr>
          <w:rFonts w:hint="eastAsia" w:ascii="仿宋" w:hAnsi="仿宋" w:eastAsia="仿宋" w:cs="Times New Roman"/>
          <w:spacing w:val="6"/>
          <w:sz w:val="32"/>
          <w:szCs w:val="32"/>
        </w:rPr>
        <w:tab/>
      </w:r>
      <w:r>
        <w:rPr>
          <w:rFonts w:hint="eastAsia" w:ascii="仿宋" w:hAnsi="仿宋" w:eastAsia="仿宋" w:cs="Times New Roman"/>
          <w:spacing w:val="6"/>
          <w:sz w:val="32"/>
          <w:szCs w:val="32"/>
        </w:rPr>
        <w:t>四川省应对老龄化的地方保障机制研究</w:t>
      </w:r>
    </w:p>
    <w:p>
      <w:pPr>
        <w:widowControl/>
        <w:shd w:val="clear" w:color="auto" w:fill="FFFFFF"/>
        <w:ind w:firstLine="664" w:firstLineChars="200"/>
        <w:jc w:val="left"/>
        <w:rPr>
          <w:rFonts w:ascii="仿宋" w:hAnsi="仿宋" w:eastAsia="仿宋"/>
          <w:sz w:val="32"/>
          <w:szCs w:val="32"/>
        </w:rPr>
      </w:pPr>
      <w:r>
        <w:rPr>
          <w:rFonts w:hint="eastAsia" w:ascii="仿宋" w:hAnsi="仿宋" w:eastAsia="仿宋" w:cs="Times New Roman"/>
          <w:spacing w:val="6"/>
          <w:sz w:val="32"/>
          <w:szCs w:val="32"/>
        </w:rPr>
        <w:t>25.</w:t>
      </w:r>
      <w:r>
        <w:rPr>
          <w:rFonts w:ascii="仿宋" w:hAnsi="仿宋" w:eastAsia="仿宋" w:cs="Times New Roman"/>
          <w:spacing w:val="6"/>
          <w:sz w:val="32"/>
          <w:szCs w:val="32"/>
        </w:rPr>
        <w:tab/>
      </w:r>
      <w:r>
        <w:rPr>
          <w:rFonts w:hint="eastAsia" w:ascii="仿宋" w:hAnsi="仿宋" w:eastAsia="仿宋" w:cs="Times New Roman"/>
          <w:spacing w:val="6"/>
          <w:sz w:val="32"/>
          <w:szCs w:val="32"/>
        </w:rPr>
        <w:t>司法责任制下执法司法工作的监督制约机制研究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1318"/>
    <w:rsid w:val="00042306"/>
    <w:rsid w:val="000520D4"/>
    <w:rsid w:val="00091FDB"/>
    <w:rsid w:val="000A0806"/>
    <w:rsid w:val="000B494E"/>
    <w:rsid w:val="00117FEA"/>
    <w:rsid w:val="00125B15"/>
    <w:rsid w:val="00324F21"/>
    <w:rsid w:val="00374B6D"/>
    <w:rsid w:val="00466C69"/>
    <w:rsid w:val="00471330"/>
    <w:rsid w:val="004D2736"/>
    <w:rsid w:val="00595C34"/>
    <w:rsid w:val="005E1E15"/>
    <w:rsid w:val="00612C1F"/>
    <w:rsid w:val="006516A6"/>
    <w:rsid w:val="0066171C"/>
    <w:rsid w:val="006F1A21"/>
    <w:rsid w:val="008126B3"/>
    <w:rsid w:val="00925707"/>
    <w:rsid w:val="00997CB5"/>
    <w:rsid w:val="009D294A"/>
    <w:rsid w:val="00A43B0F"/>
    <w:rsid w:val="00A8172E"/>
    <w:rsid w:val="00B01DCF"/>
    <w:rsid w:val="00B31318"/>
    <w:rsid w:val="00B6234E"/>
    <w:rsid w:val="00C77FF3"/>
    <w:rsid w:val="00CA11D7"/>
    <w:rsid w:val="00CA502E"/>
    <w:rsid w:val="00CC45A7"/>
    <w:rsid w:val="00DE5882"/>
    <w:rsid w:val="00E4214B"/>
    <w:rsid w:val="00EF54E0"/>
    <w:rsid w:val="00F7085F"/>
    <w:rsid w:val="00FA2087"/>
    <w:rsid w:val="00FD6C73"/>
    <w:rsid w:val="152A28A6"/>
    <w:rsid w:val="6B584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uiPriority w:val="9"/>
    <w:rPr>
      <w:rFonts w:ascii="宋体" w:hAnsi="宋体" w:eastAsia="宋体" w:cs="宋体"/>
      <w:b/>
      <w:bCs/>
      <w:kern w:val="36"/>
      <w:sz w:val="48"/>
      <w:szCs w:val="48"/>
    </w:rPr>
  </w:style>
  <w:style w:type="character" w:customStyle="1" w:styleId="8">
    <w:name w:val="16"/>
    <w:basedOn w:val="5"/>
    <w:qFormat/>
    <w:uiPriority w:val="0"/>
  </w:style>
  <w:style w:type="paragraph" w:customStyle="1" w:styleId="9">
    <w:name w:val="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5"/>
    <w:link w:val="4"/>
    <w:semiHidden/>
    <w:uiPriority w:val="99"/>
    <w:rPr>
      <w:sz w:val="18"/>
      <w:szCs w:val="18"/>
    </w:rPr>
  </w:style>
  <w:style w:type="character" w:customStyle="1" w:styleId="11">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333</Words>
  <Characters>1901</Characters>
  <Lines>15</Lines>
  <Paragraphs>4</Paragraphs>
  <TotalTime>3</TotalTime>
  <ScaleCrop>false</ScaleCrop>
  <LinksUpToDate>false</LinksUpToDate>
  <CharactersWithSpaces>2230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2019-05-08T02:51:00Z</dcterms:created>
  <dc:creator>zhou</dc:creator>
  <cp:lastModifiedBy>星愿</cp:lastModifiedBy>
  <dcterms:modified xsi:type="dcterms:W3CDTF">2019-05-22T23:53:50Z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