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023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>年度西南医科大学教育科研重大课题选题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（一）铸牢中华民族共同体意识下的大中小幼协同育人研究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（二）中小学思政课建设研究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（三）青少年法治素养培育路径与评价机制研究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（四）生态文明融入教育的实践研究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（五）中小学智慧教育教学模式研究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（六）教育治理能力现代化研究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（七）拔尖创新人才大中小一体化培养研究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（八）义务教育新课标下的课堂教学改革研究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（九）多样态阅读教学实践研究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（十）县域普通高中发展改革研究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（十一）区域高质量均衡教育策略研究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（十二）构建融通融合融汇的现代职业教育研究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（十三）四川职业教育高质量发展路径研究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（十四）省属高校一流专业建设成效评价研究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（十五）民族地区教育高质量发展研究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（十六）专业化创新型教师队伍建设研究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微软雅黑"/>
    <w:panose1 w:val="03000509000000000000"/>
    <w:charset w:val="86"/>
    <w:family w:val="swiss"/>
    <w:pitch w:val="default"/>
    <w:sig w:usb0="00000000" w:usb1="00000000" w:usb2="00000010" w:usb3="00000000" w:csb0="00040000" w:csb1="00000000"/>
  </w:font>
  <w:font w:name="方正报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863615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TAxYzE5NGRjMjE0OTBhMGM0NmNkMjBjODM5ODEifQ=="/>
  </w:docVars>
  <w:rsids>
    <w:rsidRoot w:val="2F4008FF"/>
    <w:rsid w:val="0E1312CB"/>
    <w:rsid w:val="2F4008FF"/>
    <w:rsid w:val="52BC7ED9"/>
    <w:rsid w:val="7EB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eastAsia="FZXiaoBiaoSong-B05" w:cs="FZXiaoBiaoSong-B05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1103</Characters>
  <Lines>0</Lines>
  <Paragraphs>0</Paragraphs>
  <TotalTime>2</TotalTime>
  <ScaleCrop>false</ScaleCrop>
  <LinksUpToDate>false</LinksUpToDate>
  <CharactersWithSpaces>1173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Administrator</dc:creator>
  <cp:lastModifiedBy>Administrator</cp:lastModifiedBy>
  <dcterms:modified xsi:type="dcterms:W3CDTF">2023-03-20T04:01:25Z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6316F3D4C14E40B78827136CD30B0CE0</vt:lpwstr>
  </property>
</Properties>
</file>