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left"/>
        <w:rPr>
          <w:rFonts w:ascii="Arial" w:hAnsi="Arial" w:eastAsia="宋体" w:cs="Arial"/>
          <w:color w:val="122E67"/>
          <w:kern w:val="0"/>
          <w:szCs w:val="21"/>
        </w:rPr>
      </w:pPr>
      <w:r>
        <w:rPr>
          <w:rFonts w:hint="eastAsia" w:ascii="黑体" w:hAnsi="黑体" w:eastAsia="黑体" w:cs="Arial"/>
          <w:color w:val="000000"/>
          <w:kern w:val="0"/>
          <w:sz w:val="32"/>
          <w:szCs w:val="32"/>
        </w:rPr>
        <w:t>附件</w:t>
      </w:r>
    </w:p>
    <w:p>
      <w:pPr>
        <w:widowControl/>
        <w:spacing w:line="560" w:lineRule="atLeast"/>
        <w:jc w:val="center"/>
        <w:rPr>
          <w:rFonts w:ascii="Arial" w:hAnsi="Arial" w:eastAsia="宋体" w:cs="Arial"/>
          <w:color w:val="122E67"/>
          <w:kern w:val="0"/>
          <w:szCs w:val="21"/>
        </w:rPr>
      </w:pPr>
      <w:r>
        <w:rPr>
          <w:rFonts w:ascii="Arial" w:hAnsi="Arial" w:eastAsia="宋体" w:cs="Arial"/>
          <w:color w:val="000000"/>
          <w:kern w:val="0"/>
          <w:sz w:val="32"/>
          <w:szCs w:val="32"/>
        </w:rPr>
        <w:t>2020</w:t>
      </w:r>
      <w:r>
        <w:rPr>
          <w:rFonts w:hint="eastAsia" w:ascii="方正小标宋_GBK" w:hAnsi="Arial" w:eastAsia="方正小标宋_GBK" w:cs="Arial"/>
          <w:color w:val="000000"/>
          <w:kern w:val="0"/>
          <w:sz w:val="32"/>
          <w:szCs w:val="32"/>
        </w:rPr>
        <w:t>年川渝合作重点研发项目申报指南</w:t>
      </w:r>
    </w:p>
    <w:p>
      <w:pPr>
        <w:widowControl/>
        <w:spacing w:line="560" w:lineRule="atLeast"/>
        <w:jc w:val="center"/>
        <w:rPr>
          <w:rFonts w:ascii="Arial" w:hAnsi="Arial" w:eastAsia="宋体" w:cs="Arial"/>
          <w:color w:val="122E67"/>
          <w:kern w:val="0"/>
          <w:szCs w:val="21"/>
        </w:rPr>
      </w:pPr>
      <w:r>
        <w:rPr>
          <w:rFonts w:hint="eastAsia" w:ascii="宋体" w:hAnsi="宋体" w:eastAsia="宋体" w:cs="Arial"/>
          <w:color w:val="000000"/>
          <w:kern w:val="0"/>
          <w:sz w:val="32"/>
          <w:szCs w:val="32"/>
        </w:rPr>
        <w:t>（该指南在线填写</w:t>
      </w:r>
      <w:r>
        <w:rPr>
          <w:rFonts w:ascii="Arial" w:hAnsi="Arial" w:eastAsia="宋体" w:cs="Arial"/>
          <w:color w:val="000000"/>
          <w:kern w:val="0"/>
          <w:sz w:val="32"/>
          <w:szCs w:val="32"/>
        </w:rPr>
        <w:t>“</w:t>
      </w:r>
      <w:r>
        <w:rPr>
          <w:rFonts w:hint="eastAsia" w:ascii="宋体" w:hAnsi="宋体" w:eastAsia="宋体" w:cs="Arial"/>
          <w:color w:val="000000"/>
          <w:kern w:val="0"/>
          <w:sz w:val="32"/>
          <w:szCs w:val="32"/>
        </w:rPr>
        <w:t>重点研发项目申报书</w:t>
      </w:r>
      <w:r>
        <w:rPr>
          <w:rFonts w:ascii="Arial" w:hAnsi="Arial" w:eastAsia="宋体" w:cs="Arial"/>
          <w:color w:val="000000"/>
          <w:kern w:val="0"/>
          <w:sz w:val="32"/>
          <w:szCs w:val="32"/>
        </w:rPr>
        <w:t>”</w:t>
      </w:r>
      <w:r>
        <w:rPr>
          <w:rFonts w:hint="eastAsia" w:ascii="宋体" w:hAnsi="宋体" w:eastAsia="宋体" w:cs="Arial"/>
          <w:color w:val="000000"/>
          <w:kern w:val="0"/>
          <w:sz w:val="32"/>
          <w:szCs w:val="32"/>
        </w:rPr>
        <w:t>）</w:t>
      </w:r>
    </w:p>
    <w:p>
      <w:pPr>
        <w:widowControl/>
        <w:spacing w:line="560" w:lineRule="atLeast"/>
        <w:ind w:firstLine="640"/>
        <w:jc w:val="left"/>
        <w:rPr>
          <w:rFonts w:ascii="Arial" w:hAnsi="Arial" w:eastAsia="宋体" w:cs="Arial"/>
          <w:color w:val="122E67"/>
          <w:kern w:val="0"/>
          <w:szCs w:val="21"/>
        </w:rPr>
      </w:pPr>
      <w:r>
        <w:rPr>
          <w:rFonts w:ascii="Arial" w:hAnsi="Arial" w:eastAsia="宋体" w:cs="Arial"/>
          <w:color w:val="000000"/>
          <w:kern w:val="0"/>
          <w:sz w:val="32"/>
          <w:szCs w:val="32"/>
        </w:rPr>
        <w:t> </w:t>
      </w:r>
    </w:p>
    <w:p>
      <w:pPr>
        <w:widowControl/>
        <w:spacing w:line="560" w:lineRule="atLeast"/>
        <w:ind w:firstLine="640"/>
        <w:jc w:val="left"/>
        <w:rPr>
          <w:rFonts w:ascii="Arial" w:hAnsi="Arial" w:eastAsia="宋体" w:cs="Arial"/>
          <w:color w:val="122E67"/>
          <w:kern w:val="0"/>
          <w:szCs w:val="21"/>
        </w:rPr>
      </w:pPr>
      <w:r>
        <w:rPr>
          <w:rFonts w:hint="eastAsia" w:ascii="宋体" w:hAnsi="宋体" w:eastAsia="宋体" w:cs="Arial"/>
          <w:color w:val="000000"/>
          <w:kern w:val="0"/>
          <w:sz w:val="32"/>
          <w:szCs w:val="32"/>
        </w:rPr>
        <w:t>为贯彻落实省委十一届七次全会精神，加快推进成渝地区双城经济圈具有全国影响力的科技创新中心建设，经与重庆市科技局协商，两地聚焦大健康和人工智能两个领域，推动构建关键核心技术攻关新型体制，联合实</w:t>
      </w:r>
      <w:r>
        <w:rPr>
          <w:rFonts w:hint="eastAsia" w:ascii="宋体" w:hAnsi="宋体" w:eastAsia="宋体" w:cs="Arial"/>
          <w:color w:val="000000"/>
          <w:kern w:val="0"/>
          <w:sz w:val="32"/>
          <w:szCs w:val="32"/>
          <w:lang w:val="en-US" w:eastAsia="zh-CN"/>
        </w:rPr>
        <w:tab/>
      </w:r>
      <w:bookmarkStart w:id="0" w:name="_GoBack"/>
      <w:bookmarkEnd w:id="0"/>
      <w:r>
        <w:rPr>
          <w:rFonts w:hint="eastAsia" w:ascii="宋体" w:hAnsi="宋体" w:eastAsia="宋体" w:cs="Arial"/>
          <w:color w:val="000000"/>
          <w:kern w:val="0"/>
          <w:sz w:val="32"/>
          <w:szCs w:val="32"/>
        </w:rPr>
        <w:t>施关键技术攻关，努力为在西部形成高质量发展的重要增长极提供科技支撑，重点支持以下方向：</w:t>
      </w:r>
    </w:p>
    <w:p>
      <w:pPr>
        <w:widowControl/>
        <w:spacing w:line="560" w:lineRule="atLeast"/>
        <w:ind w:firstLine="640"/>
        <w:jc w:val="left"/>
        <w:rPr>
          <w:rFonts w:ascii="Arial" w:hAnsi="Arial" w:eastAsia="宋体" w:cs="Arial"/>
          <w:color w:val="122E67"/>
          <w:kern w:val="0"/>
          <w:szCs w:val="21"/>
        </w:rPr>
      </w:pPr>
      <w:r>
        <w:rPr>
          <w:rFonts w:hint="eastAsia" w:ascii="黑体" w:hAnsi="黑体" w:eastAsia="黑体" w:cs="Arial"/>
          <w:color w:val="000000"/>
          <w:kern w:val="0"/>
          <w:sz w:val="32"/>
          <w:szCs w:val="32"/>
        </w:rPr>
        <w:t>一、项目名称：基于纳米材料的食管癌靶向治疗药物研发</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研究内容：</w:t>
      </w:r>
      <w:r>
        <w:rPr>
          <w:rFonts w:hint="eastAsia" w:ascii="宋体" w:hAnsi="宋体" w:eastAsia="宋体" w:cs="Arial"/>
          <w:color w:val="000000"/>
          <w:kern w:val="0"/>
          <w:sz w:val="32"/>
          <w:szCs w:val="32"/>
        </w:rPr>
        <w:t>结合食管癌发生特点、特异性表型靶点及相关信号通路，设计合成具有食管癌微环境特异性响应和生理调控等功能的纳米材料；构建可编程纳米药物，研究其诱导肿瘤凋亡，阻断食管癌复发、转移的免疫和代谢等多层次信号通路，调控食管癌干细胞干性，并从系统生物学和系统医学的角度揭示其分子机制，争取为食管癌的靶向治疗提供研究基础和新思路。</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考核指标：</w:t>
      </w:r>
      <w:r>
        <w:rPr>
          <w:rFonts w:hint="eastAsia" w:ascii="宋体" w:hAnsi="宋体" w:eastAsia="宋体" w:cs="Arial"/>
          <w:color w:val="000000"/>
          <w:kern w:val="0"/>
          <w:sz w:val="32"/>
          <w:szCs w:val="32"/>
        </w:rPr>
        <w:t>发现</w:t>
      </w:r>
      <w:r>
        <w:rPr>
          <w:rFonts w:hint="eastAsia" w:ascii="仿宋_GB2312" w:hAnsi="Arial" w:eastAsia="仿宋_GB2312" w:cs="Arial"/>
          <w:color w:val="000000"/>
          <w:kern w:val="0"/>
          <w:sz w:val="32"/>
          <w:szCs w:val="32"/>
        </w:rPr>
        <w:t>2-3</w:t>
      </w:r>
      <w:r>
        <w:rPr>
          <w:rFonts w:hint="eastAsia" w:ascii="宋体" w:hAnsi="宋体" w:eastAsia="宋体" w:cs="Arial"/>
          <w:color w:val="000000"/>
          <w:kern w:val="0"/>
          <w:sz w:val="32"/>
          <w:szCs w:val="32"/>
        </w:rPr>
        <w:t>个具有食管癌特异性的靶点及相关信号通路；设计合成</w:t>
      </w:r>
      <w:r>
        <w:rPr>
          <w:rFonts w:hint="eastAsia" w:ascii="仿宋_GB2312" w:hAnsi="Arial" w:eastAsia="仿宋_GB2312" w:cs="Arial"/>
          <w:color w:val="000000"/>
          <w:kern w:val="0"/>
          <w:sz w:val="32"/>
          <w:szCs w:val="32"/>
        </w:rPr>
        <w:t>3-4</w:t>
      </w:r>
      <w:r>
        <w:rPr>
          <w:rFonts w:hint="eastAsia" w:ascii="宋体" w:hAnsi="宋体" w:eastAsia="宋体" w:cs="Arial"/>
          <w:color w:val="000000"/>
          <w:kern w:val="0"/>
          <w:sz w:val="32"/>
          <w:szCs w:val="32"/>
        </w:rPr>
        <w:t>种食管癌微环境响应性纳米生物材料；构建</w:t>
      </w:r>
      <w:r>
        <w:rPr>
          <w:rFonts w:hint="eastAsia" w:ascii="仿宋_GB2312" w:hAnsi="Arial" w:eastAsia="仿宋_GB2312" w:cs="Arial"/>
          <w:color w:val="000000"/>
          <w:kern w:val="0"/>
          <w:sz w:val="32"/>
          <w:szCs w:val="32"/>
        </w:rPr>
        <w:t>2-3</w:t>
      </w:r>
      <w:r>
        <w:rPr>
          <w:rFonts w:hint="eastAsia" w:ascii="宋体" w:hAnsi="宋体" w:eastAsia="宋体" w:cs="Arial"/>
          <w:color w:val="000000"/>
          <w:kern w:val="0"/>
          <w:sz w:val="32"/>
          <w:szCs w:val="32"/>
        </w:rPr>
        <w:t>种特异型靶向食管癌，具有肿瘤微环境响应的可编程纳米药物；建立</w:t>
      </w:r>
      <w:r>
        <w:rPr>
          <w:rFonts w:hint="eastAsia" w:ascii="仿宋_GB2312" w:hAnsi="Arial" w:eastAsia="仿宋_GB2312" w:cs="Arial"/>
          <w:color w:val="000000"/>
          <w:kern w:val="0"/>
          <w:sz w:val="32"/>
          <w:szCs w:val="32"/>
        </w:rPr>
        <w:t>1</w:t>
      </w:r>
      <w:r>
        <w:rPr>
          <w:rFonts w:hint="eastAsia" w:ascii="宋体" w:hAnsi="宋体" w:eastAsia="宋体" w:cs="Arial"/>
          <w:color w:val="000000"/>
          <w:kern w:val="0"/>
          <w:sz w:val="32"/>
          <w:szCs w:val="32"/>
        </w:rPr>
        <w:t>种原发及复发食管癌体外及体内模型；争取申报</w:t>
      </w:r>
      <w:r>
        <w:rPr>
          <w:rFonts w:hint="eastAsia" w:ascii="仿宋_GB2312" w:hAnsi="Arial" w:eastAsia="仿宋_GB2312" w:cs="Arial"/>
          <w:color w:val="000000"/>
          <w:kern w:val="0"/>
          <w:sz w:val="32"/>
          <w:szCs w:val="32"/>
        </w:rPr>
        <w:t>1</w:t>
      </w:r>
      <w:r>
        <w:rPr>
          <w:rFonts w:hint="eastAsia" w:ascii="宋体" w:hAnsi="宋体" w:eastAsia="宋体" w:cs="Arial"/>
          <w:color w:val="000000"/>
          <w:kern w:val="0"/>
          <w:sz w:val="32"/>
          <w:szCs w:val="32"/>
        </w:rPr>
        <w:t>项针对食管癌的纳米靶向药物的</w:t>
      </w:r>
      <w:r>
        <w:rPr>
          <w:rFonts w:hint="eastAsia" w:ascii="仿宋_GB2312" w:hAnsi="Arial" w:eastAsia="仿宋_GB2312" w:cs="Arial"/>
          <w:color w:val="000000"/>
          <w:kern w:val="0"/>
          <w:sz w:val="32"/>
          <w:szCs w:val="32"/>
        </w:rPr>
        <w:t>1</w:t>
      </w:r>
      <w:r>
        <w:rPr>
          <w:rFonts w:hint="eastAsia" w:ascii="宋体" w:hAnsi="宋体" w:eastAsia="宋体" w:cs="Arial"/>
          <w:color w:val="000000"/>
          <w:kern w:val="0"/>
          <w:sz w:val="32"/>
          <w:szCs w:val="32"/>
        </w:rPr>
        <w:t>期临床研究。</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实施年限：</w:t>
      </w:r>
      <w:r>
        <w:rPr>
          <w:rFonts w:hint="eastAsia" w:ascii="仿宋_GB2312" w:hAnsi="Arial" w:eastAsia="仿宋_GB2312" w:cs="Arial"/>
          <w:color w:val="000000"/>
          <w:kern w:val="0"/>
          <w:sz w:val="32"/>
          <w:szCs w:val="32"/>
        </w:rPr>
        <w:t>3</w:t>
      </w:r>
      <w:r>
        <w:rPr>
          <w:rFonts w:hint="eastAsia" w:ascii="宋体" w:hAnsi="宋体" w:eastAsia="宋体" w:cs="Arial"/>
          <w:color w:val="000000"/>
          <w:kern w:val="0"/>
          <w:sz w:val="32"/>
          <w:szCs w:val="32"/>
        </w:rPr>
        <w:t>年。</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支持方式：</w:t>
      </w:r>
      <w:r>
        <w:rPr>
          <w:rFonts w:hint="eastAsia" w:ascii="宋体" w:hAnsi="宋体" w:eastAsia="宋体" w:cs="Arial"/>
          <w:color w:val="000000"/>
          <w:kern w:val="0"/>
          <w:sz w:val="32"/>
          <w:szCs w:val="32"/>
        </w:rPr>
        <w:t>拟支持</w:t>
      </w:r>
      <w:r>
        <w:rPr>
          <w:rFonts w:hint="eastAsia" w:ascii="仿宋_GB2312" w:hAnsi="Arial" w:eastAsia="仿宋_GB2312" w:cs="Arial"/>
          <w:color w:val="000000"/>
          <w:kern w:val="0"/>
          <w:sz w:val="32"/>
          <w:szCs w:val="32"/>
        </w:rPr>
        <w:t>1-2</w:t>
      </w:r>
      <w:r>
        <w:rPr>
          <w:rFonts w:hint="eastAsia" w:ascii="宋体" w:hAnsi="宋体" w:eastAsia="宋体" w:cs="Arial"/>
          <w:color w:val="000000"/>
          <w:kern w:val="0"/>
          <w:sz w:val="32"/>
          <w:szCs w:val="32"/>
        </w:rPr>
        <w:t>项，财政经费资助不超过</w:t>
      </w:r>
      <w:r>
        <w:rPr>
          <w:rFonts w:hint="eastAsia" w:ascii="仿宋_GB2312" w:hAnsi="Arial" w:eastAsia="仿宋_GB2312" w:cs="Arial"/>
          <w:color w:val="000000"/>
          <w:kern w:val="0"/>
          <w:sz w:val="32"/>
          <w:szCs w:val="32"/>
        </w:rPr>
        <w:t>200</w:t>
      </w:r>
      <w:r>
        <w:rPr>
          <w:rFonts w:hint="eastAsia" w:ascii="宋体" w:hAnsi="宋体" w:eastAsia="宋体" w:cs="Arial"/>
          <w:color w:val="000000"/>
          <w:kern w:val="0"/>
          <w:sz w:val="32"/>
          <w:szCs w:val="32"/>
        </w:rPr>
        <w:t>万元。</w:t>
      </w:r>
    </w:p>
    <w:p>
      <w:pPr>
        <w:widowControl/>
        <w:spacing w:line="560" w:lineRule="atLeast"/>
        <w:ind w:firstLine="640"/>
        <w:jc w:val="left"/>
        <w:rPr>
          <w:rFonts w:ascii="Arial" w:hAnsi="Arial" w:eastAsia="宋体" w:cs="Arial"/>
          <w:color w:val="122E67"/>
          <w:kern w:val="0"/>
          <w:szCs w:val="21"/>
        </w:rPr>
      </w:pPr>
      <w:r>
        <w:rPr>
          <w:rFonts w:hint="eastAsia" w:ascii="黑体" w:hAnsi="黑体" w:eastAsia="黑体" w:cs="Arial"/>
          <w:color w:val="000000"/>
          <w:kern w:val="0"/>
          <w:sz w:val="32"/>
          <w:szCs w:val="32"/>
        </w:rPr>
        <w:t>二、项目名称：急性肾损伤的临床预警、发病机制与治疗药物的筛选研究</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研究内容：</w:t>
      </w:r>
      <w:r>
        <w:rPr>
          <w:rFonts w:hint="eastAsia" w:ascii="宋体" w:hAnsi="宋体" w:eastAsia="宋体" w:cs="Arial"/>
          <w:color w:val="000000"/>
          <w:kern w:val="0"/>
          <w:sz w:val="32"/>
          <w:szCs w:val="32"/>
        </w:rPr>
        <w:t>基于成渝地区三甲医院急性肾损伤</w:t>
      </w:r>
      <w:r>
        <w:rPr>
          <w:rFonts w:hint="eastAsia" w:ascii="仿宋_GB2312" w:hAnsi="Arial" w:eastAsia="仿宋_GB2312" w:cs="Arial"/>
          <w:color w:val="000000"/>
          <w:kern w:val="0"/>
          <w:sz w:val="32"/>
          <w:szCs w:val="32"/>
        </w:rPr>
        <w:t>(AKI)</w:t>
      </w:r>
      <w:r>
        <w:rPr>
          <w:rFonts w:hint="eastAsia" w:ascii="宋体" w:hAnsi="宋体" w:eastAsia="宋体" w:cs="Arial"/>
          <w:color w:val="000000"/>
          <w:kern w:val="0"/>
          <w:sz w:val="32"/>
          <w:szCs w:val="32"/>
        </w:rPr>
        <w:t>患者临床特征的医学大数据，建立急性肾损伤早期预警模型；应用单细胞转录组学、空间转录组学、蛋白组学等多组学技术开展急性肾损伤的发病机制研究，发现急性肾损伤特异的生物标志物和治疗急性肾损伤潜在药物靶点；以基于对肠道菌群密切相关的芳香烃受体</w:t>
      </w:r>
      <w:r>
        <w:rPr>
          <w:rFonts w:hint="eastAsia" w:ascii="仿宋_GB2312" w:hAnsi="Arial" w:eastAsia="仿宋_GB2312" w:cs="Arial"/>
          <w:color w:val="000000"/>
          <w:kern w:val="0"/>
          <w:sz w:val="32"/>
          <w:szCs w:val="32"/>
        </w:rPr>
        <w:t>AhR</w:t>
      </w:r>
      <w:r>
        <w:rPr>
          <w:rFonts w:hint="eastAsia" w:ascii="宋体" w:hAnsi="宋体" w:eastAsia="宋体" w:cs="Arial"/>
          <w:color w:val="000000"/>
          <w:kern w:val="0"/>
          <w:sz w:val="32"/>
          <w:szCs w:val="32"/>
        </w:rPr>
        <w:t>和表观遗传调控关键分子组蛋白去乙酰化酶</w:t>
      </w:r>
      <w:r>
        <w:rPr>
          <w:rFonts w:hint="eastAsia" w:ascii="仿宋_GB2312" w:hAnsi="Arial" w:eastAsia="仿宋_GB2312" w:cs="Arial"/>
          <w:color w:val="000000"/>
          <w:kern w:val="0"/>
          <w:sz w:val="32"/>
          <w:szCs w:val="32"/>
        </w:rPr>
        <w:t>HDAC6</w:t>
      </w:r>
      <w:r>
        <w:rPr>
          <w:rFonts w:hint="eastAsia" w:ascii="宋体" w:hAnsi="宋体" w:eastAsia="宋体" w:cs="Arial"/>
          <w:color w:val="000000"/>
          <w:kern w:val="0"/>
          <w:sz w:val="32"/>
          <w:szCs w:val="32"/>
        </w:rPr>
        <w:t>、组蛋白甲基转移酶</w:t>
      </w:r>
      <w:r>
        <w:rPr>
          <w:rFonts w:hint="eastAsia" w:ascii="仿宋_GB2312" w:hAnsi="Arial" w:eastAsia="仿宋_GB2312" w:cs="Arial"/>
          <w:color w:val="000000"/>
          <w:kern w:val="0"/>
          <w:sz w:val="32"/>
          <w:szCs w:val="32"/>
        </w:rPr>
        <w:t>EZH2</w:t>
      </w:r>
      <w:r>
        <w:rPr>
          <w:rFonts w:hint="eastAsia" w:ascii="宋体" w:hAnsi="宋体" w:eastAsia="宋体" w:cs="Arial"/>
          <w:color w:val="000000"/>
          <w:kern w:val="0"/>
          <w:sz w:val="32"/>
          <w:szCs w:val="32"/>
        </w:rPr>
        <w:t>、沉默调节蛋白</w:t>
      </w:r>
      <w:r>
        <w:rPr>
          <w:rFonts w:hint="eastAsia" w:ascii="仿宋_GB2312" w:hAnsi="Arial" w:eastAsia="仿宋_GB2312" w:cs="Arial"/>
          <w:color w:val="000000"/>
          <w:kern w:val="0"/>
          <w:sz w:val="32"/>
          <w:szCs w:val="32"/>
        </w:rPr>
        <w:t>SIRT5</w:t>
      </w:r>
      <w:r>
        <w:rPr>
          <w:rFonts w:hint="eastAsia" w:ascii="宋体" w:hAnsi="宋体" w:eastAsia="宋体" w:cs="Arial"/>
          <w:color w:val="000000"/>
          <w:kern w:val="0"/>
          <w:sz w:val="32"/>
          <w:szCs w:val="32"/>
        </w:rPr>
        <w:t>等的急性肾损伤调控靶点的研究，筛选具有自主知识产权、有效治疗急性肾损伤的药物分子。</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考核指标：</w:t>
      </w:r>
      <w:r>
        <w:rPr>
          <w:rFonts w:hint="eastAsia" w:ascii="宋体" w:hAnsi="宋体" w:eastAsia="宋体" w:cs="Arial"/>
          <w:color w:val="000000"/>
          <w:kern w:val="0"/>
          <w:sz w:val="32"/>
          <w:szCs w:val="32"/>
        </w:rPr>
        <w:t>建立适宜的成渝地区急性肾损伤临床预警方案；揭示急性肾损伤的时间空间基因、蛋白层面的变化规律，阐述疾病发生发展过程中的分子调控网络，发现特异的生物标志物</w:t>
      </w:r>
      <w:r>
        <w:rPr>
          <w:rFonts w:hint="eastAsia" w:ascii="仿宋_GB2312" w:hAnsi="Arial" w:eastAsia="仿宋_GB2312" w:cs="Arial"/>
          <w:color w:val="000000"/>
          <w:kern w:val="0"/>
          <w:sz w:val="32"/>
          <w:szCs w:val="32"/>
        </w:rPr>
        <w:t>1-2</w:t>
      </w:r>
      <w:r>
        <w:rPr>
          <w:rFonts w:hint="eastAsia" w:ascii="宋体" w:hAnsi="宋体" w:eastAsia="宋体" w:cs="Arial"/>
          <w:color w:val="000000"/>
          <w:kern w:val="0"/>
          <w:sz w:val="32"/>
          <w:szCs w:val="32"/>
        </w:rPr>
        <w:t>个和潜在药物靶点</w:t>
      </w:r>
      <w:r>
        <w:rPr>
          <w:rFonts w:hint="eastAsia" w:ascii="仿宋_GB2312" w:hAnsi="Arial" w:eastAsia="仿宋_GB2312" w:cs="Arial"/>
          <w:color w:val="000000"/>
          <w:kern w:val="0"/>
          <w:sz w:val="32"/>
          <w:szCs w:val="32"/>
        </w:rPr>
        <w:t>2-3</w:t>
      </w:r>
      <w:r>
        <w:rPr>
          <w:rFonts w:hint="eastAsia" w:ascii="宋体" w:hAnsi="宋体" w:eastAsia="宋体" w:cs="Arial"/>
          <w:color w:val="000000"/>
          <w:kern w:val="0"/>
          <w:sz w:val="32"/>
          <w:szCs w:val="32"/>
        </w:rPr>
        <w:t>个；筛选具有自主知识产权的有效治疗急性肾损伤的候选药物分子，申请国家发明专利</w:t>
      </w:r>
      <w:r>
        <w:rPr>
          <w:rFonts w:hint="eastAsia" w:ascii="仿宋_GB2312" w:hAnsi="Arial" w:eastAsia="仿宋_GB2312" w:cs="Arial"/>
          <w:color w:val="000000"/>
          <w:kern w:val="0"/>
          <w:sz w:val="32"/>
          <w:szCs w:val="32"/>
        </w:rPr>
        <w:t>2-3</w:t>
      </w:r>
      <w:r>
        <w:rPr>
          <w:rFonts w:hint="eastAsia" w:ascii="宋体" w:hAnsi="宋体" w:eastAsia="宋体" w:cs="Arial"/>
          <w:color w:val="000000"/>
          <w:kern w:val="0"/>
          <w:sz w:val="32"/>
          <w:szCs w:val="32"/>
        </w:rPr>
        <w:t>项。</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实施年限：</w:t>
      </w:r>
      <w:r>
        <w:rPr>
          <w:rFonts w:hint="eastAsia" w:ascii="仿宋_GB2312" w:hAnsi="Arial" w:eastAsia="仿宋_GB2312" w:cs="Arial"/>
          <w:color w:val="000000"/>
          <w:kern w:val="0"/>
          <w:sz w:val="32"/>
          <w:szCs w:val="32"/>
        </w:rPr>
        <w:t>3</w:t>
      </w:r>
      <w:r>
        <w:rPr>
          <w:rFonts w:hint="eastAsia" w:ascii="宋体" w:hAnsi="宋体" w:eastAsia="宋体" w:cs="Arial"/>
          <w:color w:val="000000"/>
          <w:kern w:val="0"/>
          <w:sz w:val="32"/>
          <w:szCs w:val="32"/>
        </w:rPr>
        <w:t>年。</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支持方式：</w:t>
      </w:r>
      <w:r>
        <w:rPr>
          <w:rFonts w:hint="eastAsia" w:ascii="宋体" w:hAnsi="宋体" w:eastAsia="宋体" w:cs="Arial"/>
          <w:color w:val="000000"/>
          <w:kern w:val="0"/>
          <w:sz w:val="32"/>
          <w:szCs w:val="32"/>
        </w:rPr>
        <w:t>拟支持</w:t>
      </w:r>
      <w:r>
        <w:rPr>
          <w:rFonts w:hint="eastAsia" w:ascii="仿宋_GB2312" w:hAnsi="Arial" w:eastAsia="仿宋_GB2312" w:cs="Arial"/>
          <w:color w:val="000000"/>
          <w:kern w:val="0"/>
          <w:sz w:val="32"/>
          <w:szCs w:val="32"/>
        </w:rPr>
        <w:t>1-2</w:t>
      </w:r>
      <w:r>
        <w:rPr>
          <w:rFonts w:hint="eastAsia" w:ascii="宋体" w:hAnsi="宋体" w:eastAsia="宋体" w:cs="Arial"/>
          <w:color w:val="000000"/>
          <w:kern w:val="0"/>
          <w:sz w:val="32"/>
          <w:szCs w:val="32"/>
        </w:rPr>
        <w:t>项，财政经费资助不超过</w:t>
      </w:r>
      <w:r>
        <w:rPr>
          <w:rFonts w:hint="eastAsia" w:ascii="仿宋_GB2312" w:hAnsi="Arial" w:eastAsia="仿宋_GB2312" w:cs="Arial"/>
          <w:color w:val="000000"/>
          <w:kern w:val="0"/>
          <w:sz w:val="32"/>
          <w:szCs w:val="32"/>
        </w:rPr>
        <w:t>200</w:t>
      </w:r>
      <w:r>
        <w:rPr>
          <w:rFonts w:hint="eastAsia" w:ascii="宋体" w:hAnsi="宋体" w:eastAsia="宋体" w:cs="Arial"/>
          <w:color w:val="000000"/>
          <w:kern w:val="0"/>
          <w:sz w:val="32"/>
          <w:szCs w:val="32"/>
        </w:rPr>
        <w:t>万元。</w:t>
      </w:r>
    </w:p>
    <w:p>
      <w:pPr>
        <w:widowControl/>
        <w:spacing w:line="560" w:lineRule="atLeast"/>
        <w:ind w:firstLine="640"/>
        <w:jc w:val="left"/>
        <w:rPr>
          <w:rFonts w:ascii="Arial" w:hAnsi="Arial" w:eastAsia="宋体" w:cs="Arial"/>
          <w:color w:val="122E67"/>
          <w:kern w:val="0"/>
          <w:szCs w:val="21"/>
        </w:rPr>
      </w:pPr>
      <w:r>
        <w:rPr>
          <w:rFonts w:hint="eastAsia" w:ascii="黑体" w:hAnsi="黑体" w:eastAsia="黑体" w:cs="Arial"/>
          <w:color w:val="000000"/>
          <w:kern w:val="0"/>
          <w:sz w:val="32"/>
          <w:szCs w:val="32"/>
        </w:rPr>
        <w:t>三、项目名称：人工心脏的研发及在终末期心力衰竭患者的临床应用</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研究内容：</w:t>
      </w:r>
      <w:r>
        <w:rPr>
          <w:rFonts w:hint="eastAsia" w:ascii="宋体" w:hAnsi="宋体" w:eastAsia="宋体" w:cs="Arial"/>
          <w:color w:val="000000"/>
          <w:kern w:val="0"/>
          <w:sz w:val="32"/>
          <w:szCs w:val="32"/>
        </w:rPr>
        <w:t>针对临床终末期心衰患者实际应用中面临的临床科学问题（适应症、围手术期管理、并发症处理、远期效果等）开展具有完全自主知识产权的国产设备</w:t>
      </w:r>
      <w:r>
        <w:rPr>
          <w:rFonts w:hint="eastAsia" w:ascii="仿宋_GB2312" w:hAnsi="Arial" w:eastAsia="仿宋_GB2312" w:cs="Arial"/>
          <w:color w:val="000000"/>
          <w:kern w:val="0"/>
          <w:sz w:val="32"/>
          <w:szCs w:val="32"/>
        </w:rPr>
        <w:t>--</w:t>
      </w:r>
      <w:r>
        <w:rPr>
          <w:rFonts w:hint="eastAsia" w:ascii="宋体" w:hAnsi="宋体" w:eastAsia="宋体" w:cs="Arial"/>
          <w:color w:val="000000"/>
          <w:kern w:val="0"/>
          <w:sz w:val="32"/>
          <w:szCs w:val="32"/>
        </w:rPr>
        <w:t>人工心脏的研发及评价；优化心室辅助装置的临床应用策略；开展心室辅助装置过渡到心脏移植技术的临床应用。</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考核指标：</w:t>
      </w:r>
      <w:r>
        <w:rPr>
          <w:rFonts w:hint="eastAsia" w:ascii="宋体" w:hAnsi="宋体" w:eastAsia="宋体" w:cs="Arial"/>
          <w:color w:val="000000"/>
          <w:kern w:val="0"/>
          <w:sz w:val="32"/>
          <w:szCs w:val="32"/>
        </w:rPr>
        <w:t>获得由国家食品药品监督管理局指定的检测机构完成的人工心脏装置检验和验证，并取得检验合格报告；在成渝两地不低于</w:t>
      </w:r>
      <w:r>
        <w:rPr>
          <w:rFonts w:hint="eastAsia" w:ascii="仿宋_GB2312" w:hAnsi="Arial" w:eastAsia="仿宋_GB2312" w:cs="Arial"/>
          <w:color w:val="000000"/>
          <w:kern w:val="0"/>
          <w:sz w:val="32"/>
          <w:szCs w:val="32"/>
        </w:rPr>
        <w:t>2</w:t>
      </w:r>
      <w:r>
        <w:rPr>
          <w:rFonts w:hint="eastAsia" w:ascii="宋体" w:hAnsi="宋体" w:eastAsia="宋体" w:cs="Arial"/>
          <w:color w:val="000000"/>
          <w:kern w:val="0"/>
          <w:sz w:val="32"/>
          <w:szCs w:val="32"/>
        </w:rPr>
        <w:t>家医院，完成</w:t>
      </w:r>
      <w:r>
        <w:rPr>
          <w:rFonts w:hint="eastAsia" w:ascii="仿宋_GB2312" w:hAnsi="Arial" w:eastAsia="仿宋_GB2312" w:cs="Arial"/>
          <w:color w:val="000000"/>
          <w:kern w:val="0"/>
          <w:sz w:val="32"/>
          <w:szCs w:val="32"/>
        </w:rPr>
        <w:t>10</w:t>
      </w:r>
      <w:r>
        <w:rPr>
          <w:rFonts w:hint="eastAsia" w:ascii="宋体" w:hAnsi="宋体" w:eastAsia="宋体" w:cs="Arial"/>
          <w:color w:val="000000"/>
          <w:kern w:val="0"/>
          <w:sz w:val="32"/>
          <w:szCs w:val="32"/>
        </w:rPr>
        <w:t>例以上心脏移植。</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实施年限：</w:t>
      </w:r>
      <w:r>
        <w:rPr>
          <w:rFonts w:hint="eastAsia" w:ascii="仿宋_GB2312" w:hAnsi="Arial" w:eastAsia="仿宋_GB2312" w:cs="Arial"/>
          <w:color w:val="000000"/>
          <w:kern w:val="0"/>
          <w:sz w:val="32"/>
          <w:szCs w:val="32"/>
        </w:rPr>
        <w:t>3</w:t>
      </w:r>
      <w:r>
        <w:rPr>
          <w:rFonts w:hint="eastAsia" w:ascii="宋体" w:hAnsi="宋体" w:eastAsia="宋体" w:cs="Arial"/>
          <w:color w:val="000000"/>
          <w:kern w:val="0"/>
          <w:sz w:val="32"/>
          <w:szCs w:val="32"/>
        </w:rPr>
        <w:t>年。</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支持方式：</w:t>
      </w:r>
      <w:r>
        <w:rPr>
          <w:rFonts w:hint="eastAsia" w:ascii="宋体" w:hAnsi="宋体" w:eastAsia="宋体" w:cs="Arial"/>
          <w:color w:val="000000"/>
          <w:kern w:val="0"/>
          <w:sz w:val="32"/>
          <w:szCs w:val="32"/>
        </w:rPr>
        <w:t>拟支持</w:t>
      </w:r>
      <w:r>
        <w:rPr>
          <w:rFonts w:hint="eastAsia" w:ascii="仿宋_GB2312" w:hAnsi="Arial" w:eastAsia="仿宋_GB2312" w:cs="Arial"/>
          <w:color w:val="000000"/>
          <w:kern w:val="0"/>
          <w:sz w:val="32"/>
          <w:szCs w:val="32"/>
        </w:rPr>
        <w:t>1-2</w:t>
      </w:r>
      <w:r>
        <w:rPr>
          <w:rFonts w:hint="eastAsia" w:ascii="宋体" w:hAnsi="宋体" w:eastAsia="宋体" w:cs="Arial"/>
          <w:color w:val="000000"/>
          <w:kern w:val="0"/>
          <w:sz w:val="32"/>
          <w:szCs w:val="32"/>
        </w:rPr>
        <w:t>项，财政经费资助不超过</w:t>
      </w:r>
      <w:r>
        <w:rPr>
          <w:rFonts w:hint="eastAsia" w:ascii="仿宋_GB2312" w:hAnsi="Arial" w:eastAsia="仿宋_GB2312" w:cs="Arial"/>
          <w:color w:val="000000"/>
          <w:kern w:val="0"/>
          <w:sz w:val="32"/>
          <w:szCs w:val="32"/>
        </w:rPr>
        <w:t>200</w:t>
      </w:r>
      <w:r>
        <w:rPr>
          <w:rFonts w:hint="eastAsia" w:ascii="宋体" w:hAnsi="宋体" w:eastAsia="宋体" w:cs="Arial"/>
          <w:color w:val="000000"/>
          <w:kern w:val="0"/>
          <w:sz w:val="32"/>
          <w:szCs w:val="32"/>
        </w:rPr>
        <w:t>万元。</w:t>
      </w:r>
    </w:p>
    <w:p>
      <w:pPr>
        <w:widowControl/>
        <w:spacing w:line="560" w:lineRule="atLeast"/>
        <w:ind w:firstLine="640"/>
        <w:jc w:val="left"/>
        <w:rPr>
          <w:rFonts w:ascii="Arial" w:hAnsi="Arial" w:eastAsia="宋体" w:cs="Arial"/>
          <w:color w:val="122E67"/>
          <w:kern w:val="0"/>
          <w:szCs w:val="21"/>
        </w:rPr>
      </w:pPr>
      <w:r>
        <w:rPr>
          <w:rFonts w:hint="eastAsia" w:ascii="黑体" w:hAnsi="黑体" w:eastAsia="黑体" w:cs="Arial"/>
          <w:color w:val="000000"/>
          <w:kern w:val="0"/>
          <w:sz w:val="32"/>
          <w:szCs w:val="32"/>
        </w:rPr>
        <w:t>四、项目名称：川渝道地药材品质保障关键技术研究与应用</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研究内容：</w:t>
      </w:r>
      <w:r>
        <w:rPr>
          <w:rFonts w:hint="eastAsia" w:ascii="宋体" w:hAnsi="宋体" w:eastAsia="宋体" w:cs="Arial"/>
          <w:color w:val="000000"/>
          <w:kern w:val="0"/>
          <w:sz w:val="32"/>
          <w:szCs w:val="32"/>
        </w:rPr>
        <w:t>基于第四次全国中药资源普查的基础，研究构建川渝一体化中药资源动态监测和技术服务体系，开展川渝中药资源信息和技术服务，实现川渝中药资源信息、技术和服务的深度共享融合。开展川渝道地药材品种创新研究、繁育关键技术研究，创制具有显著优势和特异性状的优良育种新材料，选育高产、优质、高抗等优良新品种，从源头保障川渝道地药材高质量发展。传承和创新川渝道地药材生产和产地加工技术，研发病虫草害绿色防治技术、精准作业、生态种植、机械化耕种管收和现代化加工等共性关键技术，形成川渝道地药材标准化生产和产地加工技术规范。</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考核指标：</w:t>
      </w:r>
      <w:r>
        <w:rPr>
          <w:rFonts w:hint="eastAsia" w:ascii="宋体" w:hAnsi="宋体" w:eastAsia="宋体" w:cs="Arial"/>
          <w:color w:val="000000"/>
          <w:kern w:val="0"/>
          <w:sz w:val="32"/>
          <w:szCs w:val="32"/>
        </w:rPr>
        <w:t>建立川渝一体化中药资源动态监测平台</w:t>
      </w:r>
      <w:r>
        <w:rPr>
          <w:rFonts w:hint="eastAsia" w:ascii="仿宋_GB2312" w:hAnsi="Arial" w:eastAsia="仿宋_GB2312" w:cs="Arial"/>
          <w:color w:val="000000"/>
          <w:kern w:val="0"/>
          <w:sz w:val="32"/>
          <w:szCs w:val="32"/>
        </w:rPr>
        <w:t>1</w:t>
      </w:r>
      <w:r>
        <w:rPr>
          <w:rFonts w:hint="eastAsia" w:ascii="宋体" w:hAnsi="宋体" w:eastAsia="宋体" w:cs="Arial"/>
          <w:color w:val="000000"/>
          <w:kern w:val="0"/>
          <w:sz w:val="32"/>
          <w:szCs w:val="32"/>
        </w:rPr>
        <w:t>个，建立川渝道地药材信息及专家技术服务体系，实现川渝中药资源信息共享；年开展信息及技术服务</w:t>
      </w:r>
      <w:r>
        <w:rPr>
          <w:rFonts w:hint="eastAsia" w:ascii="仿宋_GB2312" w:hAnsi="Arial" w:eastAsia="仿宋_GB2312" w:cs="Arial"/>
          <w:color w:val="000000"/>
          <w:kern w:val="0"/>
          <w:sz w:val="32"/>
          <w:szCs w:val="32"/>
        </w:rPr>
        <w:t>5000</w:t>
      </w:r>
      <w:r>
        <w:rPr>
          <w:rFonts w:hint="eastAsia" w:ascii="宋体" w:hAnsi="宋体" w:eastAsia="宋体" w:cs="Arial"/>
          <w:color w:val="000000"/>
          <w:kern w:val="0"/>
          <w:sz w:val="32"/>
          <w:szCs w:val="32"/>
        </w:rPr>
        <w:t>人次以上；选育川渝道地药材新品种</w:t>
      </w:r>
      <w:r>
        <w:rPr>
          <w:rFonts w:hint="eastAsia" w:ascii="仿宋_GB2312" w:hAnsi="Arial" w:eastAsia="仿宋_GB2312" w:cs="Arial"/>
          <w:color w:val="000000"/>
          <w:kern w:val="0"/>
          <w:sz w:val="32"/>
          <w:szCs w:val="32"/>
        </w:rPr>
        <w:t>1-2</w:t>
      </w:r>
      <w:r>
        <w:rPr>
          <w:rFonts w:hint="eastAsia" w:ascii="宋体" w:hAnsi="宋体" w:eastAsia="宋体" w:cs="Arial"/>
          <w:color w:val="000000"/>
          <w:kern w:val="0"/>
          <w:sz w:val="32"/>
          <w:szCs w:val="32"/>
        </w:rPr>
        <w:t>个；制定</w:t>
      </w:r>
      <w:r>
        <w:rPr>
          <w:rFonts w:hint="eastAsia" w:ascii="仿宋_GB2312" w:hAnsi="Arial" w:eastAsia="仿宋_GB2312" w:cs="Arial"/>
          <w:color w:val="000000"/>
          <w:kern w:val="0"/>
          <w:sz w:val="32"/>
          <w:szCs w:val="32"/>
        </w:rPr>
        <w:t>1-3</w:t>
      </w:r>
      <w:r>
        <w:rPr>
          <w:rFonts w:hint="eastAsia" w:ascii="宋体" w:hAnsi="宋体" w:eastAsia="宋体" w:cs="Arial"/>
          <w:color w:val="000000"/>
          <w:kern w:val="0"/>
          <w:sz w:val="32"/>
          <w:szCs w:val="32"/>
        </w:rPr>
        <w:t>种川渝共同道地药材全产业链的标准体系：种子种苗繁育技术规范、种子种苗质量标准、生产技术规范、采收和产地初加工技术规范、药材质量标准。</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实施年限：</w:t>
      </w:r>
      <w:r>
        <w:rPr>
          <w:rFonts w:hint="eastAsia" w:ascii="仿宋_GB2312" w:hAnsi="Arial" w:eastAsia="仿宋_GB2312" w:cs="Arial"/>
          <w:color w:val="000000"/>
          <w:kern w:val="0"/>
          <w:sz w:val="32"/>
          <w:szCs w:val="32"/>
        </w:rPr>
        <w:t>3</w:t>
      </w:r>
      <w:r>
        <w:rPr>
          <w:rFonts w:hint="eastAsia" w:ascii="宋体" w:hAnsi="宋体" w:eastAsia="宋体" w:cs="Arial"/>
          <w:color w:val="000000"/>
          <w:kern w:val="0"/>
          <w:sz w:val="32"/>
          <w:szCs w:val="32"/>
        </w:rPr>
        <w:t>年。</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支持方式：</w:t>
      </w:r>
      <w:r>
        <w:rPr>
          <w:rFonts w:hint="eastAsia" w:ascii="宋体" w:hAnsi="宋体" w:eastAsia="宋体" w:cs="Arial"/>
          <w:color w:val="000000"/>
          <w:kern w:val="0"/>
          <w:sz w:val="32"/>
          <w:szCs w:val="32"/>
        </w:rPr>
        <w:t>拟支持</w:t>
      </w:r>
      <w:r>
        <w:rPr>
          <w:rFonts w:hint="eastAsia" w:ascii="仿宋_GB2312" w:hAnsi="Arial" w:eastAsia="仿宋_GB2312" w:cs="Arial"/>
          <w:color w:val="000000"/>
          <w:kern w:val="0"/>
          <w:sz w:val="32"/>
          <w:szCs w:val="32"/>
        </w:rPr>
        <w:t>1-2</w:t>
      </w:r>
      <w:r>
        <w:rPr>
          <w:rFonts w:hint="eastAsia" w:ascii="宋体" w:hAnsi="宋体" w:eastAsia="宋体" w:cs="Arial"/>
          <w:color w:val="000000"/>
          <w:kern w:val="0"/>
          <w:sz w:val="32"/>
          <w:szCs w:val="32"/>
        </w:rPr>
        <w:t>项，财政经费资助不超过</w:t>
      </w:r>
      <w:r>
        <w:rPr>
          <w:rFonts w:hint="eastAsia" w:ascii="仿宋_GB2312" w:hAnsi="Arial" w:eastAsia="仿宋_GB2312" w:cs="Arial"/>
          <w:color w:val="000000"/>
          <w:kern w:val="0"/>
          <w:sz w:val="32"/>
          <w:szCs w:val="32"/>
        </w:rPr>
        <w:t>200</w:t>
      </w:r>
      <w:r>
        <w:rPr>
          <w:rFonts w:hint="eastAsia" w:ascii="宋体" w:hAnsi="宋体" w:eastAsia="宋体" w:cs="Arial"/>
          <w:color w:val="000000"/>
          <w:kern w:val="0"/>
          <w:sz w:val="32"/>
          <w:szCs w:val="32"/>
        </w:rPr>
        <w:t>万元。</w:t>
      </w:r>
    </w:p>
    <w:p>
      <w:pPr>
        <w:widowControl/>
        <w:spacing w:line="360" w:lineRule="atLeast"/>
        <w:ind w:firstLine="640"/>
        <w:jc w:val="left"/>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五、项目名称：川渝魔芋精深加工关键技术研究及新产品开发</w:t>
      </w:r>
    </w:p>
    <w:p>
      <w:pPr>
        <w:widowControl/>
        <w:spacing w:line="360" w:lineRule="atLeast"/>
        <w:ind w:firstLine="6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研究内容：立足“健康中国、健康饮食”发展理念，开展魔芋可溶性优质膳食纤维精深加工关键技术研究及新产品开发。针对魔芋食品冻融稳定性差、不利于寒冷地区销售的问题，开展魔芋食品低温稳态化保质关键技术、复合保水技术研究。应对国际出口，聚焦魔芋精粉生产工艺关键点，开展高品质魔芋胶关键技术研究，基于粘度指标（</w:t>
      </w:r>
      <w:r>
        <w:rPr>
          <w:rFonts w:ascii="宋体" w:hAnsi="宋体" w:eastAsia="宋体" w:cs="Arial"/>
          <w:color w:val="000000"/>
          <w:kern w:val="0"/>
          <w:sz w:val="32"/>
          <w:szCs w:val="32"/>
        </w:rPr>
        <w:t>Pa.s</w:t>
      </w:r>
      <w:r>
        <w:rPr>
          <w:rFonts w:hint="eastAsia" w:ascii="宋体" w:hAnsi="宋体" w:eastAsia="宋体" w:cs="Arial"/>
          <w:color w:val="000000"/>
          <w:kern w:val="0"/>
          <w:sz w:val="32"/>
          <w:szCs w:val="32"/>
        </w:rPr>
        <w:t>）及优品率提升优化湿法加工技术。应对国内需求，开展以魔芋鲜湿米为主的低卡（</w:t>
      </w:r>
      <w:r>
        <w:rPr>
          <w:rFonts w:ascii="宋体" w:hAnsi="宋体" w:eastAsia="宋体" w:cs="Arial"/>
          <w:color w:val="000000"/>
          <w:kern w:val="0"/>
          <w:sz w:val="32"/>
          <w:szCs w:val="32"/>
        </w:rPr>
        <w:t>&lt;40C</w:t>
      </w:r>
      <w:r>
        <w:rPr>
          <w:rFonts w:hint="eastAsia" w:ascii="宋体" w:hAnsi="宋体" w:eastAsia="宋体" w:cs="Arial"/>
          <w:color w:val="000000"/>
          <w:kern w:val="0"/>
          <w:sz w:val="32"/>
          <w:szCs w:val="32"/>
        </w:rPr>
        <w:t>）凝胶食品关键工艺及标准化研究，建立魔芋鲜湿米标准加工工艺技术体系；开发以魔芋鲜湿米为主的低卡（</w:t>
      </w:r>
      <w:r>
        <w:rPr>
          <w:rFonts w:ascii="宋体" w:hAnsi="宋体" w:eastAsia="宋体" w:cs="Arial"/>
          <w:color w:val="000000"/>
          <w:kern w:val="0"/>
          <w:sz w:val="32"/>
          <w:szCs w:val="32"/>
        </w:rPr>
        <w:t>&lt;40C</w:t>
      </w:r>
      <w:r>
        <w:rPr>
          <w:rFonts w:hint="eastAsia" w:ascii="宋体" w:hAnsi="宋体" w:eastAsia="宋体" w:cs="Arial"/>
          <w:color w:val="000000"/>
          <w:kern w:val="0"/>
          <w:sz w:val="32"/>
          <w:szCs w:val="32"/>
        </w:rPr>
        <w:t>）凝胶系列新产品，开展新产品功能性评价研究。</w:t>
      </w:r>
    </w:p>
    <w:p>
      <w:pPr>
        <w:widowControl/>
        <w:spacing w:line="360" w:lineRule="atLeast"/>
        <w:ind w:firstLine="6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考核指标：突破低温保质关键技术</w:t>
      </w:r>
      <w:r>
        <w:rPr>
          <w:rFonts w:ascii="宋体" w:hAnsi="宋体" w:eastAsia="宋体" w:cs="Arial"/>
          <w:color w:val="000000"/>
          <w:kern w:val="0"/>
          <w:sz w:val="32"/>
          <w:szCs w:val="32"/>
        </w:rPr>
        <w:t>1</w:t>
      </w:r>
      <w:r>
        <w:rPr>
          <w:rFonts w:hint="eastAsia" w:ascii="宋体" w:hAnsi="宋体" w:eastAsia="宋体" w:cs="Arial"/>
          <w:color w:val="000000"/>
          <w:kern w:val="0"/>
          <w:sz w:val="32"/>
          <w:szCs w:val="32"/>
        </w:rPr>
        <w:t>项，高品质魔芋胶关键技术</w:t>
      </w:r>
      <w:r>
        <w:rPr>
          <w:rFonts w:ascii="宋体" w:hAnsi="宋体" w:eastAsia="宋体" w:cs="Arial"/>
          <w:color w:val="000000"/>
          <w:kern w:val="0"/>
          <w:sz w:val="32"/>
          <w:szCs w:val="32"/>
        </w:rPr>
        <w:t>1</w:t>
      </w:r>
      <w:r>
        <w:rPr>
          <w:rFonts w:hint="eastAsia" w:ascii="宋体" w:hAnsi="宋体" w:eastAsia="宋体" w:cs="Arial"/>
          <w:color w:val="000000"/>
          <w:kern w:val="0"/>
          <w:sz w:val="32"/>
          <w:szCs w:val="32"/>
        </w:rPr>
        <w:t>项；开发以魔芋鲜湿米为主的低卡</w:t>
      </w:r>
      <w:r>
        <w:rPr>
          <w:rFonts w:ascii="宋体" w:hAnsi="宋体" w:eastAsia="宋体" w:cs="Arial"/>
          <w:color w:val="000000"/>
          <w:kern w:val="0"/>
          <w:sz w:val="32"/>
          <w:szCs w:val="32"/>
        </w:rPr>
        <w:t>(&lt;40C)</w:t>
      </w:r>
      <w:r>
        <w:rPr>
          <w:rFonts w:hint="eastAsia" w:ascii="宋体" w:hAnsi="宋体" w:eastAsia="宋体" w:cs="Arial"/>
          <w:color w:val="000000"/>
          <w:kern w:val="0"/>
          <w:sz w:val="32"/>
          <w:szCs w:val="32"/>
        </w:rPr>
        <w:t>凝胶系列新产品</w:t>
      </w:r>
      <w:r>
        <w:rPr>
          <w:rFonts w:ascii="宋体" w:hAnsi="宋体" w:eastAsia="宋体" w:cs="Arial"/>
          <w:color w:val="000000"/>
          <w:kern w:val="0"/>
          <w:sz w:val="32"/>
          <w:szCs w:val="32"/>
        </w:rPr>
        <w:t>2-3</w:t>
      </w:r>
      <w:r>
        <w:rPr>
          <w:rFonts w:hint="eastAsia" w:ascii="宋体" w:hAnsi="宋体" w:eastAsia="宋体" w:cs="Arial"/>
          <w:color w:val="000000"/>
          <w:kern w:val="0"/>
          <w:sz w:val="32"/>
          <w:szCs w:val="32"/>
        </w:rPr>
        <w:t>个，形成新产品功能性评价研究报告</w:t>
      </w:r>
      <w:r>
        <w:rPr>
          <w:rFonts w:ascii="宋体" w:hAnsi="宋体" w:eastAsia="宋体" w:cs="Arial"/>
          <w:color w:val="000000"/>
          <w:kern w:val="0"/>
          <w:sz w:val="32"/>
          <w:szCs w:val="32"/>
        </w:rPr>
        <w:t>1</w:t>
      </w:r>
      <w:r>
        <w:rPr>
          <w:rFonts w:hint="eastAsia" w:ascii="宋体" w:hAnsi="宋体" w:eastAsia="宋体" w:cs="Arial"/>
          <w:color w:val="000000"/>
          <w:kern w:val="0"/>
          <w:sz w:val="32"/>
          <w:szCs w:val="32"/>
        </w:rPr>
        <w:t>份；编制标准</w:t>
      </w:r>
      <w:r>
        <w:rPr>
          <w:rFonts w:ascii="宋体" w:hAnsi="宋体" w:eastAsia="宋体" w:cs="Arial"/>
          <w:color w:val="000000"/>
          <w:kern w:val="0"/>
          <w:sz w:val="32"/>
          <w:szCs w:val="32"/>
        </w:rPr>
        <w:t>2-3</w:t>
      </w:r>
      <w:r>
        <w:rPr>
          <w:rFonts w:hint="eastAsia" w:ascii="宋体" w:hAnsi="宋体" w:eastAsia="宋体" w:cs="Arial"/>
          <w:color w:val="000000"/>
          <w:kern w:val="0"/>
          <w:sz w:val="32"/>
          <w:szCs w:val="32"/>
        </w:rPr>
        <w:t>个；建设魔芋鲜湿米示范生产线</w:t>
      </w:r>
      <w:r>
        <w:rPr>
          <w:rFonts w:ascii="宋体" w:hAnsi="宋体" w:eastAsia="宋体" w:cs="Arial"/>
          <w:color w:val="000000"/>
          <w:kern w:val="0"/>
          <w:sz w:val="32"/>
          <w:szCs w:val="32"/>
        </w:rPr>
        <w:t>1</w:t>
      </w:r>
      <w:r>
        <w:rPr>
          <w:rFonts w:hint="eastAsia" w:ascii="宋体" w:hAnsi="宋体" w:eastAsia="宋体" w:cs="Arial"/>
          <w:color w:val="000000"/>
          <w:kern w:val="0"/>
          <w:sz w:val="32"/>
          <w:szCs w:val="32"/>
        </w:rPr>
        <w:t>条。</w:t>
      </w:r>
    </w:p>
    <w:p>
      <w:pPr>
        <w:widowControl/>
        <w:spacing w:line="360" w:lineRule="atLeast"/>
        <w:ind w:firstLine="6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实施年限：</w:t>
      </w:r>
      <w:r>
        <w:rPr>
          <w:rFonts w:ascii="宋体" w:hAnsi="宋体" w:eastAsia="宋体" w:cs="Arial"/>
          <w:color w:val="000000"/>
          <w:kern w:val="0"/>
          <w:sz w:val="32"/>
          <w:szCs w:val="32"/>
        </w:rPr>
        <w:t>3</w:t>
      </w:r>
      <w:r>
        <w:rPr>
          <w:rFonts w:hint="eastAsia" w:ascii="宋体" w:hAnsi="宋体" w:eastAsia="宋体" w:cs="Arial"/>
          <w:color w:val="000000"/>
          <w:kern w:val="0"/>
          <w:sz w:val="32"/>
          <w:szCs w:val="32"/>
        </w:rPr>
        <w:t>年。</w:t>
      </w:r>
    </w:p>
    <w:p>
      <w:pPr>
        <w:widowControl/>
        <w:spacing w:line="360" w:lineRule="atLeast"/>
        <w:ind w:firstLine="6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支持方式：拟支持</w:t>
      </w:r>
      <w:r>
        <w:rPr>
          <w:rFonts w:ascii="宋体" w:hAnsi="宋体" w:eastAsia="宋体" w:cs="Arial"/>
          <w:color w:val="000000"/>
          <w:kern w:val="0"/>
          <w:sz w:val="32"/>
          <w:szCs w:val="32"/>
        </w:rPr>
        <w:t>1-2</w:t>
      </w:r>
      <w:r>
        <w:rPr>
          <w:rFonts w:hint="eastAsia" w:ascii="宋体" w:hAnsi="宋体" w:eastAsia="宋体" w:cs="Arial"/>
          <w:color w:val="000000"/>
          <w:kern w:val="0"/>
          <w:sz w:val="32"/>
          <w:szCs w:val="32"/>
        </w:rPr>
        <w:t>项，财政经费资助不超过</w:t>
      </w:r>
      <w:r>
        <w:rPr>
          <w:rFonts w:ascii="宋体" w:hAnsi="宋体" w:eastAsia="宋体" w:cs="Arial"/>
          <w:color w:val="000000"/>
          <w:kern w:val="0"/>
          <w:sz w:val="32"/>
          <w:szCs w:val="32"/>
        </w:rPr>
        <w:t>200</w:t>
      </w:r>
      <w:r>
        <w:rPr>
          <w:rFonts w:hint="eastAsia" w:ascii="宋体" w:hAnsi="宋体" w:eastAsia="宋体" w:cs="Arial"/>
          <w:color w:val="000000"/>
          <w:kern w:val="0"/>
          <w:sz w:val="32"/>
          <w:szCs w:val="32"/>
        </w:rPr>
        <w:t>万元。</w:t>
      </w:r>
    </w:p>
    <w:p>
      <w:pPr>
        <w:widowControl/>
        <w:spacing w:line="560" w:lineRule="atLeast"/>
        <w:ind w:firstLine="640"/>
        <w:jc w:val="left"/>
        <w:rPr>
          <w:rFonts w:ascii="Arial" w:hAnsi="Arial" w:eastAsia="宋体" w:cs="Arial"/>
          <w:color w:val="122E67"/>
          <w:kern w:val="0"/>
          <w:szCs w:val="21"/>
        </w:rPr>
      </w:pPr>
      <w:r>
        <w:rPr>
          <w:rFonts w:hint="eastAsia" w:ascii="黑体" w:hAnsi="黑体" w:eastAsia="黑体" w:cs="Arial"/>
          <w:color w:val="000000"/>
          <w:kern w:val="0"/>
          <w:sz w:val="32"/>
          <w:szCs w:val="32"/>
        </w:rPr>
        <w:t>六、项目名称：基于自然语言处理的深度学习开放共享平台研究与应用</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研究内容：</w:t>
      </w:r>
      <w:r>
        <w:rPr>
          <w:rFonts w:hint="eastAsia" w:ascii="宋体" w:hAnsi="宋体" w:eastAsia="宋体" w:cs="Arial"/>
          <w:color w:val="000000"/>
          <w:kern w:val="0"/>
          <w:sz w:val="32"/>
          <w:szCs w:val="32"/>
        </w:rPr>
        <w:t>整合深度学习、深度理解、大数据等相关技术，突破信息分类、识别、检索、智能理解等现有技术实现方法，开发基于深度信息特征分析的智能决策系统，实现面向领域知识获取的全智能化信息抽取分析效果；研发面向全域感知的突发事件预测系统的自然语言处理技术，整合开发面向自然语言处理的深度学习应用开放共享平台，实现在智慧政务等典型场景示范应用。</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考核指标：</w:t>
      </w:r>
      <w:r>
        <w:rPr>
          <w:rFonts w:hint="eastAsia" w:ascii="宋体" w:hAnsi="宋体" w:eastAsia="宋体" w:cs="Arial"/>
          <w:color w:val="000000"/>
          <w:kern w:val="0"/>
          <w:sz w:val="32"/>
          <w:szCs w:val="32"/>
        </w:rPr>
        <w:t>支持不少于</w:t>
      </w:r>
      <w:r>
        <w:rPr>
          <w:rFonts w:hint="eastAsia" w:ascii="仿宋_GB2312" w:hAnsi="Arial" w:eastAsia="仿宋_GB2312" w:cs="Arial"/>
          <w:color w:val="000000"/>
          <w:kern w:val="0"/>
          <w:sz w:val="32"/>
          <w:szCs w:val="32"/>
        </w:rPr>
        <w:t>2</w:t>
      </w:r>
      <w:r>
        <w:rPr>
          <w:rFonts w:hint="eastAsia" w:ascii="宋体" w:hAnsi="宋体" w:eastAsia="宋体" w:cs="Arial"/>
          <w:color w:val="000000"/>
          <w:kern w:val="0"/>
          <w:sz w:val="32"/>
          <w:szCs w:val="32"/>
        </w:rPr>
        <w:t>个国产人工智能计算框架；开展不少于</w:t>
      </w:r>
      <w:r>
        <w:rPr>
          <w:rFonts w:hint="eastAsia" w:ascii="仿宋_GB2312" w:hAnsi="Arial" w:eastAsia="仿宋_GB2312" w:cs="Arial"/>
          <w:color w:val="000000"/>
          <w:kern w:val="0"/>
          <w:sz w:val="32"/>
          <w:szCs w:val="32"/>
        </w:rPr>
        <w:t>5</w:t>
      </w:r>
      <w:r>
        <w:rPr>
          <w:rFonts w:hint="eastAsia" w:ascii="宋体" w:hAnsi="宋体" w:eastAsia="宋体" w:cs="Arial"/>
          <w:color w:val="000000"/>
          <w:kern w:val="0"/>
          <w:sz w:val="32"/>
          <w:szCs w:val="32"/>
        </w:rPr>
        <w:t>类的人工智能应用验证，包括中文文本挖掘、自然语言理解、智能决策等领域；完成面向党政的智慧办公、突发事件预测和政务决策辅助平台及示范应用不少于</w:t>
      </w:r>
      <w:r>
        <w:rPr>
          <w:rFonts w:hint="eastAsia" w:ascii="仿宋_GB2312" w:hAnsi="Arial" w:eastAsia="仿宋_GB2312" w:cs="Arial"/>
          <w:color w:val="000000"/>
          <w:kern w:val="0"/>
          <w:sz w:val="32"/>
          <w:szCs w:val="32"/>
        </w:rPr>
        <w:t>5</w:t>
      </w:r>
      <w:r>
        <w:rPr>
          <w:rFonts w:hint="eastAsia" w:ascii="宋体" w:hAnsi="宋体" w:eastAsia="宋体" w:cs="Arial"/>
          <w:color w:val="000000"/>
          <w:kern w:val="0"/>
          <w:sz w:val="32"/>
          <w:szCs w:val="32"/>
        </w:rPr>
        <w:t>个，实施周期内相关产品实现销售收入不低于</w:t>
      </w:r>
      <w:r>
        <w:rPr>
          <w:rFonts w:hint="eastAsia" w:ascii="仿宋_GB2312" w:hAnsi="Arial" w:eastAsia="仿宋_GB2312" w:cs="Arial"/>
          <w:color w:val="000000"/>
          <w:kern w:val="0"/>
          <w:sz w:val="32"/>
          <w:szCs w:val="32"/>
        </w:rPr>
        <w:t>500</w:t>
      </w:r>
      <w:r>
        <w:rPr>
          <w:rFonts w:hint="eastAsia" w:ascii="宋体" w:hAnsi="宋体" w:eastAsia="宋体" w:cs="Arial"/>
          <w:color w:val="000000"/>
          <w:kern w:val="0"/>
          <w:sz w:val="32"/>
          <w:szCs w:val="32"/>
        </w:rPr>
        <w:t>万元。</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实施年限：</w:t>
      </w:r>
      <w:r>
        <w:rPr>
          <w:rFonts w:hint="eastAsia" w:ascii="仿宋_GB2312" w:hAnsi="Arial" w:eastAsia="仿宋_GB2312" w:cs="Arial"/>
          <w:color w:val="000000"/>
          <w:kern w:val="0"/>
          <w:sz w:val="32"/>
          <w:szCs w:val="32"/>
        </w:rPr>
        <w:t>2</w:t>
      </w:r>
      <w:r>
        <w:rPr>
          <w:rFonts w:hint="eastAsia" w:ascii="宋体" w:hAnsi="宋体" w:eastAsia="宋体" w:cs="Arial"/>
          <w:color w:val="000000"/>
          <w:kern w:val="0"/>
          <w:sz w:val="32"/>
          <w:szCs w:val="32"/>
        </w:rPr>
        <w:t>年。</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支持方式：</w:t>
      </w:r>
      <w:r>
        <w:rPr>
          <w:rFonts w:hint="eastAsia" w:ascii="宋体" w:hAnsi="宋体" w:eastAsia="宋体" w:cs="Arial"/>
          <w:color w:val="000000"/>
          <w:kern w:val="0"/>
          <w:sz w:val="32"/>
          <w:szCs w:val="32"/>
        </w:rPr>
        <w:t>拟支持</w:t>
      </w:r>
      <w:r>
        <w:rPr>
          <w:rFonts w:hint="eastAsia" w:ascii="仿宋_GB2312" w:hAnsi="Arial" w:eastAsia="仿宋_GB2312" w:cs="Arial"/>
          <w:color w:val="000000"/>
          <w:kern w:val="0"/>
          <w:sz w:val="32"/>
          <w:szCs w:val="32"/>
        </w:rPr>
        <w:t>1-2</w:t>
      </w:r>
      <w:r>
        <w:rPr>
          <w:rFonts w:hint="eastAsia" w:ascii="宋体" w:hAnsi="宋体" w:eastAsia="宋体" w:cs="Arial"/>
          <w:color w:val="000000"/>
          <w:kern w:val="0"/>
          <w:sz w:val="32"/>
          <w:szCs w:val="32"/>
        </w:rPr>
        <w:t>项，财政经费资助不超过</w:t>
      </w:r>
      <w:r>
        <w:rPr>
          <w:rFonts w:hint="eastAsia" w:ascii="仿宋_GB2312" w:hAnsi="Arial" w:eastAsia="仿宋_GB2312" w:cs="Arial"/>
          <w:color w:val="000000"/>
          <w:kern w:val="0"/>
          <w:sz w:val="32"/>
          <w:szCs w:val="32"/>
        </w:rPr>
        <w:t>200</w:t>
      </w:r>
      <w:r>
        <w:rPr>
          <w:rFonts w:hint="eastAsia" w:ascii="宋体" w:hAnsi="宋体" w:eastAsia="宋体" w:cs="Arial"/>
          <w:color w:val="000000"/>
          <w:kern w:val="0"/>
          <w:sz w:val="32"/>
          <w:szCs w:val="32"/>
        </w:rPr>
        <w:t>万元。</w:t>
      </w:r>
    </w:p>
    <w:p>
      <w:pPr>
        <w:widowControl/>
        <w:spacing w:line="560" w:lineRule="atLeast"/>
        <w:ind w:firstLine="640"/>
        <w:jc w:val="left"/>
        <w:rPr>
          <w:rFonts w:ascii="Arial" w:hAnsi="Arial" w:eastAsia="宋体" w:cs="Arial"/>
          <w:color w:val="122E67"/>
          <w:kern w:val="0"/>
          <w:szCs w:val="21"/>
        </w:rPr>
      </w:pPr>
      <w:r>
        <w:rPr>
          <w:rFonts w:hint="eastAsia" w:ascii="黑体" w:hAnsi="黑体" w:eastAsia="黑体" w:cs="Arial"/>
          <w:color w:val="000000"/>
          <w:kern w:val="0"/>
          <w:sz w:val="32"/>
          <w:szCs w:val="32"/>
        </w:rPr>
        <w:t>七、项目名称：时速400公里高速列车运行智能控制关键技术研究</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研究内容：</w:t>
      </w:r>
      <w:r>
        <w:rPr>
          <w:rFonts w:hint="eastAsia" w:ascii="宋体" w:hAnsi="宋体" w:eastAsia="宋体" w:cs="Arial"/>
          <w:color w:val="000000"/>
          <w:kern w:val="0"/>
          <w:sz w:val="32"/>
          <w:szCs w:val="32"/>
        </w:rPr>
        <w:t>面向世界首条时速</w:t>
      </w:r>
      <w:r>
        <w:rPr>
          <w:rFonts w:hint="eastAsia" w:ascii="仿宋_GB2312" w:hAnsi="Arial" w:eastAsia="仿宋_GB2312" w:cs="Arial"/>
          <w:color w:val="000000"/>
          <w:kern w:val="0"/>
          <w:sz w:val="32"/>
          <w:szCs w:val="32"/>
        </w:rPr>
        <w:t>400</w:t>
      </w:r>
      <w:r>
        <w:rPr>
          <w:rFonts w:hint="eastAsia" w:ascii="宋体" w:hAnsi="宋体" w:eastAsia="宋体" w:cs="Arial"/>
          <w:color w:val="000000"/>
          <w:kern w:val="0"/>
          <w:sz w:val="32"/>
          <w:szCs w:val="32"/>
        </w:rPr>
        <w:t>公里高速铁路</w:t>
      </w:r>
      <w:r>
        <w:rPr>
          <w:rFonts w:hint="eastAsia" w:ascii="仿宋_GB2312" w:hAnsi="Arial" w:eastAsia="仿宋_GB2312" w:cs="Arial"/>
          <w:color w:val="000000"/>
          <w:kern w:val="0"/>
          <w:sz w:val="32"/>
          <w:szCs w:val="32"/>
        </w:rPr>
        <w:t>-</w:t>
      </w:r>
      <w:r>
        <w:rPr>
          <w:rFonts w:hint="eastAsia" w:ascii="宋体" w:hAnsi="宋体" w:eastAsia="宋体" w:cs="Arial"/>
          <w:color w:val="000000"/>
          <w:kern w:val="0"/>
          <w:sz w:val="32"/>
          <w:szCs w:val="32"/>
        </w:rPr>
        <w:t>成渝中线安全高效运营目标，开展基于</w:t>
      </w:r>
      <w:r>
        <w:rPr>
          <w:rFonts w:hint="eastAsia" w:ascii="仿宋_GB2312" w:hAnsi="Arial" w:eastAsia="仿宋_GB2312" w:cs="Arial"/>
          <w:color w:val="000000"/>
          <w:kern w:val="0"/>
          <w:sz w:val="32"/>
          <w:szCs w:val="32"/>
        </w:rPr>
        <w:t>AI</w:t>
      </w:r>
      <w:r>
        <w:rPr>
          <w:rFonts w:hint="eastAsia" w:ascii="宋体" w:hAnsi="宋体" w:eastAsia="宋体" w:cs="Arial"/>
          <w:color w:val="000000"/>
          <w:kern w:val="0"/>
          <w:sz w:val="32"/>
          <w:szCs w:val="32"/>
        </w:rPr>
        <w:t>的先进优化控制技术研究。实现基于多源异构信息融合的列车高精度定位与运行态势快速认知，多效应耦合因素共同作用下高速列车准点节能优化操纵；研究基于虚拟连挂和时空特征融合的运力及能耗综合协同优化，以及车车通信的运行图快速恢复和晚点优化中的关键技术。</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考核指标：</w:t>
      </w:r>
      <w:r>
        <w:rPr>
          <w:rFonts w:hint="eastAsia" w:ascii="宋体" w:hAnsi="宋体" w:eastAsia="宋体" w:cs="Arial"/>
          <w:color w:val="000000"/>
          <w:kern w:val="0"/>
          <w:sz w:val="32"/>
          <w:szCs w:val="32"/>
        </w:rPr>
        <w:t>突破复杂路网条件下运行态势精准感知、高动态强不确定性的运行控制系统最优表示、多目标复杂优化问题快速求解等关键共性技术；实现搭建列车多效应耦合仿真平台、列车准点节能优化（操纵）控制仿真平台；实现开发高速列车车载辅助驾驶装置</w:t>
      </w:r>
      <w:r>
        <w:rPr>
          <w:rFonts w:hint="eastAsia" w:ascii="仿宋_GB2312" w:hAnsi="Arial" w:eastAsia="仿宋_GB2312" w:cs="Arial"/>
          <w:color w:val="000000"/>
          <w:kern w:val="0"/>
          <w:sz w:val="32"/>
          <w:szCs w:val="32"/>
        </w:rPr>
        <w:t>1</w:t>
      </w:r>
      <w:r>
        <w:rPr>
          <w:rFonts w:hint="eastAsia" w:ascii="宋体" w:hAnsi="宋体" w:eastAsia="宋体" w:cs="Arial"/>
          <w:color w:val="000000"/>
          <w:kern w:val="0"/>
          <w:sz w:val="32"/>
          <w:szCs w:val="32"/>
        </w:rPr>
        <w:t>套；申请国家发明专利</w:t>
      </w:r>
      <w:r>
        <w:rPr>
          <w:rFonts w:hint="eastAsia" w:ascii="仿宋_GB2312" w:hAnsi="Arial" w:eastAsia="仿宋_GB2312" w:cs="Arial"/>
          <w:color w:val="000000"/>
          <w:kern w:val="0"/>
          <w:sz w:val="32"/>
          <w:szCs w:val="32"/>
        </w:rPr>
        <w:t>1-2</w:t>
      </w:r>
      <w:r>
        <w:rPr>
          <w:rFonts w:hint="eastAsia" w:ascii="宋体" w:hAnsi="宋体" w:eastAsia="宋体" w:cs="Arial"/>
          <w:color w:val="000000"/>
          <w:kern w:val="0"/>
          <w:sz w:val="32"/>
          <w:szCs w:val="32"/>
        </w:rPr>
        <w:t>项。</w:t>
      </w:r>
    </w:p>
    <w:p>
      <w:pPr>
        <w:widowControl/>
        <w:spacing w:line="560" w:lineRule="atLeast"/>
        <w:ind w:firstLine="640"/>
        <w:jc w:val="left"/>
        <w:rPr>
          <w:rFonts w:ascii="Arial" w:hAnsi="Arial" w:eastAsia="宋体" w:cs="Arial"/>
          <w:color w:val="122E67"/>
          <w:kern w:val="0"/>
          <w:szCs w:val="21"/>
        </w:rPr>
      </w:pPr>
      <w:r>
        <w:rPr>
          <w:rFonts w:hint="eastAsia" w:ascii="楷体_GB2312" w:hAnsi="Arial" w:eastAsia="楷体_GB2312" w:cs="Arial"/>
          <w:color w:val="000000"/>
          <w:kern w:val="0"/>
          <w:sz w:val="32"/>
          <w:szCs w:val="32"/>
        </w:rPr>
        <w:t>实施年限：</w:t>
      </w:r>
      <w:r>
        <w:rPr>
          <w:rFonts w:hint="eastAsia" w:ascii="仿宋_GB2312" w:hAnsi="Arial" w:eastAsia="仿宋_GB2312" w:cs="Arial"/>
          <w:color w:val="000000"/>
          <w:kern w:val="0"/>
          <w:sz w:val="32"/>
          <w:szCs w:val="32"/>
        </w:rPr>
        <w:t>2</w:t>
      </w:r>
      <w:r>
        <w:rPr>
          <w:rFonts w:hint="eastAsia" w:ascii="宋体" w:hAnsi="宋体" w:eastAsia="宋体" w:cs="Arial"/>
          <w:color w:val="000000"/>
          <w:kern w:val="0"/>
          <w:sz w:val="32"/>
          <w:szCs w:val="32"/>
        </w:rPr>
        <w:t>年。</w:t>
      </w:r>
    </w:p>
    <w:p>
      <w:pPr>
        <w:widowControl/>
        <w:spacing w:line="560" w:lineRule="atLeast"/>
        <w:ind w:firstLine="640"/>
        <w:jc w:val="left"/>
        <w:rPr>
          <w:rFonts w:hint="eastAsia" w:ascii="Arial" w:hAnsi="Arial" w:eastAsia="宋体" w:cs="Arial"/>
          <w:color w:val="122E67"/>
          <w:kern w:val="0"/>
          <w:szCs w:val="21"/>
        </w:rPr>
      </w:pPr>
      <w:r>
        <w:rPr>
          <w:rFonts w:hint="eastAsia" w:ascii="楷体_GB2312" w:hAnsi="Arial" w:eastAsia="楷体_GB2312" w:cs="Arial"/>
          <w:color w:val="000000"/>
          <w:kern w:val="0"/>
          <w:sz w:val="32"/>
          <w:szCs w:val="32"/>
        </w:rPr>
        <w:t>支持方式：</w:t>
      </w:r>
      <w:r>
        <w:rPr>
          <w:rFonts w:hint="eastAsia" w:ascii="宋体" w:hAnsi="宋体" w:eastAsia="宋体" w:cs="Arial"/>
          <w:color w:val="000000"/>
          <w:kern w:val="0"/>
          <w:sz w:val="32"/>
          <w:szCs w:val="32"/>
        </w:rPr>
        <w:t>拟支持</w:t>
      </w:r>
      <w:r>
        <w:rPr>
          <w:rFonts w:hint="eastAsia" w:ascii="仿宋_GB2312" w:hAnsi="Arial" w:eastAsia="仿宋_GB2312" w:cs="Arial"/>
          <w:color w:val="000000"/>
          <w:kern w:val="0"/>
          <w:sz w:val="32"/>
          <w:szCs w:val="32"/>
        </w:rPr>
        <w:t>1-2</w:t>
      </w:r>
      <w:r>
        <w:rPr>
          <w:rFonts w:hint="eastAsia" w:ascii="宋体" w:hAnsi="宋体" w:eastAsia="宋体" w:cs="Arial"/>
          <w:color w:val="000000"/>
          <w:kern w:val="0"/>
          <w:sz w:val="32"/>
          <w:szCs w:val="32"/>
        </w:rPr>
        <w:t>项，财政经费资助不超过</w:t>
      </w:r>
      <w:r>
        <w:rPr>
          <w:rFonts w:hint="eastAsia" w:ascii="仿宋_GB2312" w:hAnsi="Arial" w:eastAsia="仿宋_GB2312" w:cs="Arial"/>
          <w:color w:val="000000"/>
          <w:kern w:val="0"/>
          <w:sz w:val="32"/>
          <w:szCs w:val="32"/>
        </w:rPr>
        <w:t>200</w:t>
      </w:r>
      <w:r>
        <w:rPr>
          <w:rFonts w:hint="eastAsia" w:ascii="宋体" w:hAnsi="宋体" w:eastAsia="宋体" w:cs="Arial"/>
          <w:color w:val="000000"/>
          <w:kern w:val="0"/>
          <w:sz w:val="32"/>
          <w:szCs w:val="32"/>
        </w:rPr>
        <w:t>万元。</w:t>
      </w: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7A"/>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6CC5"/>
    <w:rsid w:val="0004011F"/>
    <w:rsid w:val="0008529E"/>
    <w:rsid w:val="00126CC5"/>
    <w:rsid w:val="00141C91"/>
    <w:rsid w:val="001719A5"/>
    <w:rsid w:val="001A1F82"/>
    <w:rsid w:val="00263096"/>
    <w:rsid w:val="00271D05"/>
    <w:rsid w:val="00275739"/>
    <w:rsid w:val="0028670A"/>
    <w:rsid w:val="002A683F"/>
    <w:rsid w:val="002B7FF1"/>
    <w:rsid w:val="002E358C"/>
    <w:rsid w:val="002E5FF3"/>
    <w:rsid w:val="00304EA1"/>
    <w:rsid w:val="003240A9"/>
    <w:rsid w:val="00342FD5"/>
    <w:rsid w:val="00345843"/>
    <w:rsid w:val="003502EA"/>
    <w:rsid w:val="00395F48"/>
    <w:rsid w:val="003C5227"/>
    <w:rsid w:val="00412BC3"/>
    <w:rsid w:val="00450B97"/>
    <w:rsid w:val="00473B98"/>
    <w:rsid w:val="00485FA1"/>
    <w:rsid w:val="0049320F"/>
    <w:rsid w:val="004C180A"/>
    <w:rsid w:val="004E5BD9"/>
    <w:rsid w:val="004F2662"/>
    <w:rsid w:val="00536579"/>
    <w:rsid w:val="00590AC2"/>
    <w:rsid w:val="005B6268"/>
    <w:rsid w:val="005E4F6F"/>
    <w:rsid w:val="00611C03"/>
    <w:rsid w:val="007366D4"/>
    <w:rsid w:val="007952DD"/>
    <w:rsid w:val="007A5F16"/>
    <w:rsid w:val="007E1878"/>
    <w:rsid w:val="007E5601"/>
    <w:rsid w:val="007E5975"/>
    <w:rsid w:val="007F03EF"/>
    <w:rsid w:val="00800C48"/>
    <w:rsid w:val="008158CC"/>
    <w:rsid w:val="00832A73"/>
    <w:rsid w:val="008736ED"/>
    <w:rsid w:val="00877B61"/>
    <w:rsid w:val="008A2227"/>
    <w:rsid w:val="008B1A54"/>
    <w:rsid w:val="009021E4"/>
    <w:rsid w:val="0097071B"/>
    <w:rsid w:val="009F777D"/>
    <w:rsid w:val="00A02A3B"/>
    <w:rsid w:val="00A25CCE"/>
    <w:rsid w:val="00A467FF"/>
    <w:rsid w:val="00A628D8"/>
    <w:rsid w:val="00A820A1"/>
    <w:rsid w:val="00AB0015"/>
    <w:rsid w:val="00AB234F"/>
    <w:rsid w:val="00AD5A49"/>
    <w:rsid w:val="00AE1F12"/>
    <w:rsid w:val="00AF07D0"/>
    <w:rsid w:val="00B12733"/>
    <w:rsid w:val="00B16D99"/>
    <w:rsid w:val="00BA34DA"/>
    <w:rsid w:val="00BC1472"/>
    <w:rsid w:val="00C11056"/>
    <w:rsid w:val="00CD01CB"/>
    <w:rsid w:val="00D409FB"/>
    <w:rsid w:val="00D52160"/>
    <w:rsid w:val="00D8286E"/>
    <w:rsid w:val="00DB2327"/>
    <w:rsid w:val="00DB3F0A"/>
    <w:rsid w:val="00E02A67"/>
    <w:rsid w:val="00E251E0"/>
    <w:rsid w:val="00E36449"/>
    <w:rsid w:val="00EA0F27"/>
    <w:rsid w:val="00EF1923"/>
    <w:rsid w:val="00F054A4"/>
    <w:rsid w:val="00F41CEA"/>
    <w:rsid w:val="00FB6783"/>
    <w:rsid w:val="033F6106"/>
    <w:rsid w:val="5A423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标题 1 字符"/>
    <w:basedOn w:val="6"/>
    <w:link w:val="2"/>
    <w:uiPriority w:val="9"/>
    <w:rPr>
      <w:rFonts w:ascii="宋体" w:hAnsi="宋体" w:eastAsia="宋体" w:cs="宋体"/>
      <w:b/>
      <w:bCs/>
      <w:kern w:val="36"/>
      <w:sz w:val="48"/>
      <w:szCs w:val="48"/>
    </w:rPr>
  </w:style>
  <w:style w:type="paragraph" w:styleId="9">
    <w:name w:val="List Paragraph"/>
    <w:basedOn w:val="1"/>
    <w:qFormat/>
    <w:uiPriority w:val="34"/>
    <w:pPr>
      <w:ind w:firstLine="420" w:firstLineChars="200"/>
    </w:pPr>
  </w:style>
  <w:style w:type="character" w:customStyle="1" w:styleId="10">
    <w:name w:val="页眉 字符"/>
    <w:basedOn w:val="6"/>
    <w:link w:val="4"/>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561</Words>
  <Characters>3203</Characters>
  <Lines>26</Lines>
  <Paragraphs>7</Paragraphs>
  <TotalTime>48</TotalTime>
  <ScaleCrop>false</ScaleCrop>
  <LinksUpToDate>false</LinksUpToDate>
  <CharactersWithSpaces>3757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2020-08-14T00:48:00Z</dcterms:created>
  <dc:creator>hp</dc:creator>
  <cp:lastModifiedBy>曾伟灵</cp:lastModifiedBy>
  <dcterms:modified xsi:type="dcterms:W3CDTF">2020-08-17T01:00:53Z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