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5C18" w14:textId="77777777" w:rsidR="004F1E59" w:rsidRDefault="00590DCC">
      <w:pPr>
        <w:widowControl/>
        <w:shd w:val="clear" w:color="auto" w:fill="FFFFFF"/>
        <w:spacing w:line="600" w:lineRule="atLeas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附件</w:t>
      </w:r>
      <w:r>
        <w:rPr>
          <w:rFonts w:ascii="仿宋" w:eastAsia="仿宋" w:hAnsi="仿宋" w:cs="仿宋" w:hint="eastAsia"/>
          <w:color w:val="000000"/>
          <w:kern w:val="0"/>
          <w:sz w:val="32"/>
          <w:szCs w:val="32"/>
        </w:rPr>
        <w:t>1</w:t>
      </w:r>
    </w:p>
    <w:p w14:paraId="199BE873" w14:textId="77777777" w:rsidR="004F1E59" w:rsidRDefault="004F1E59">
      <w:pPr>
        <w:widowControl/>
        <w:shd w:val="clear" w:color="auto" w:fill="FFFFFF"/>
        <w:spacing w:line="600" w:lineRule="atLeast"/>
        <w:jc w:val="left"/>
        <w:rPr>
          <w:rFonts w:ascii="仿宋" w:eastAsia="仿宋" w:hAnsi="仿宋" w:cs="仿宋"/>
          <w:color w:val="000000"/>
          <w:kern w:val="0"/>
          <w:sz w:val="32"/>
          <w:szCs w:val="32"/>
        </w:rPr>
      </w:pPr>
    </w:p>
    <w:p w14:paraId="0D31548E" w14:textId="77777777" w:rsidR="004F1E59" w:rsidRDefault="00590DCC">
      <w:pPr>
        <w:widowControl/>
        <w:shd w:val="clear" w:color="auto" w:fill="FFFFFF"/>
        <w:spacing w:line="600" w:lineRule="atLeast"/>
        <w:jc w:val="center"/>
        <w:rPr>
          <w:rFonts w:ascii="仿宋" w:eastAsia="仿宋" w:hAnsi="仿宋" w:cs="仿宋"/>
          <w:b/>
          <w:bCs/>
          <w:color w:val="000000"/>
          <w:kern w:val="0"/>
          <w:sz w:val="44"/>
          <w:szCs w:val="44"/>
        </w:rPr>
      </w:pPr>
      <w:r>
        <w:rPr>
          <w:rFonts w:ascii="仿宋" w:eastAsia="仿宋" w:hAnsi="仿宋" w:cs="仿宋" w:hint="eastAsia"/>
          <w:b/>
          <w:bCs/>
          <w:color w:val="000000"/>
          <w:kern w:val="0"/>
          <w:sz w:val="44"/>
          <w:szCs w:val="44"/>
        </w:rPr>
        <w:t>四川省中医药标准化研究专项申报指南</w:t>
      </w:r>
    </w:p>
    <w:p w14:paraId="388577B8" w14:textId="77777777" w:rsidR="004F1E59" w:rsidRDefault="00590DCC">
      <w:pPr>
        <w:widowControl/>
        <w:shd w:val="clear" w:color="auto" w:fill="FFFFFF"/>
        <w:spacing w:line="600" w:lineRule="atLeast"/>
        <w:jc w:val="center"/>
        <w:rPr>
          <w:rFonts w:ascii="仿宋" w:eastAsia="仿宋" w:hAnsi="仿宋" w:cs="仿宋"/>
          <w:color w:val="000000"/>
          <w:kern w:val="0"/>
          <w:sz w:val="36"/>
          <w:szCs w:val="36"/>
        </w:rPr>
      </w:pPr>
      <w:r>
        <w:rPr>
          <w:rFonts w:ascii="仿宋" w:eastAsia="仿宋" w:hAnsi="仿宋" w:cs="仿宋" w:hint="eastAsia"/>
          <w:color w:val="000000"/>
          <w:kern w:val="0"/>
          <w:sz w:val="36"/>
          <w:szCs w:val="36"/>
        </w:rPr>
        <w:t>（</w:t>
      </w:r>
      <w:r>
        <w:rPr>
          <w:rFonts w:ascii="仿宋" w:eastAsia="仿宋" w:hAnsi="仿宋" w:cs="仿宋" w:hint="eastAsia"/>
          <w:color w:val="000000"/>
          <w:kern w:val="0"/>
          <w:sz w:val="36"/>
          <w:szCs w:val="36"/>
        </w:rPr>
        <w:t>2019</w:t>
      </w:r>
      <w:r>
        <w:rPr>
          <w:rFonts w:ascii="仿宋" w:eastAsia="仿宋" w:hAnsi="仿宋" w:cs="仿宋" w:hint="eastAsia"/>
          <w:color w:val="000000"/>
          <w:kern w:val="0"/>
          <w:sz w:val="36"/>
          <w:szCs w:val="36"/>
        </w:rPr>
        <w:t>年版）</w:t>
      </w:r>
    </w:p>
    <w:p w14:paraId="734EA728" w14:textId="77777777" w:rsidR="004F1E59" w:rsidRDefault="00590DCC">
      <w:pPr>
        <w:widowControl/>
        <w:shd w:val="clear" w:color="auto" w:fill="FFFFFF"/>
        <w:spacing w:line="360" w:lineRule="auto"/>
        <w:ind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 </w:t>
      </w:r>
    </w:p>
    <w:p w14:paraId="2B6F9727" w14:textId="77777777" w:rsidR="004F1E59" w:rsidRDefault="00590DCC">
      <w:pPr>
        <w:widowControl/>
        <w:shd w:val="clear" w:color="auto" w:fill="FFFFFF"/>
        <w:spacing w:line="360" w:lineRule="auto"/>
        <w:ind w:firstLine="641"/>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为高质量推动四川省中医药标准化建设</w:t>
      </w:r>
      <w:r>
        <w:rPr>
          <w:rFonts w:ascii="仿宋_GB2312" w:eastAsia="仿宋_GB2312" w:hAnsi="宋体" w:cs="宋体" w:hint="eastAsia"/>
          <w:color w:val="000000"/>
          <w:kern w:val="0"/>
          <w:sz w:val="32"/>
          <w:szCs w:val="32"/>
        </w:rPr>
        <w:t>，在健康中国背景下，亟需</w:t>
      </w:r>
      <w:r>
        <w:rPr>
          <w:rFonts w:ascii="仿宋_GB2312" w:eastAsia="仿宋_GB2312" w:hAnsi="宋体" w:cs="宋体" w:hint="eastAsia"/>
          <w:color w:val="000000"/>
          <w:kern w:val="0"/>
          <w:sz w:val="32"/>
          <w:szCs w:val="32"/>
        </w:rPr>
        <w:t>通过标准引领中医药产业发展</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在行业主管部门的大力支持下，</w:t>
      </w:r>
      <w:r>
        <w:rPr>
          <w:rFonts w:ascii="仿宋_GB2312" w:eastAsia="仿宋_GB2312" w:hAnsi="宋体" w:cs="宋体" w:hint="eastAsia"/>
          <w:color w:val="000000"/>
          <w:kern w:val="0"/>
          <w:sz w:val="32"/>
          <w:szCs w:val="32"/>
        </w:rPr>
        <w:t>设立四川省中医药标准化研究专项，通过标准化研究全面</w:t>
      </w:r>
      <w:proofErr w:type="gramStart"/>
      <w:r>
        <w:rPr>
          <w:rFonts w:ascii="仿宋_GB2312" w:eastAsia="仿宋_GB2312" w:hAnsi="宋体" w:cs="宋体" w:hint="eastAsia"/>
          <w:color w:val="000000"/>
          <w:kern w:val="0"/>
          <w:sz w:val="32"/>
          <w:szCs w:val="32"/>
        </w:rPr>
        <w:t>提升川产中医药</w:t>
      </w:r>
      <w:proofErr w:type="gramEnd"/>
      <w:r>
        <w:rPr>
          <w:rFonts w:ascii="仿宋_GB2312" w:eastAsia="仿宋_GB2312" w:hAnsi="宋体" w:cs="宋体" w:hint="eastAsia"/>
          <w:color w:val="000000"/>
          <w:kern w:val="0"/>
          <w:sz w:val="32"/>
          <w:szCs w:val="32"/>
        </w:rPr>
        <w:t>产业质量和安全，通过标准引领中医药产业升级，实现四川中医药产业做大做强。</w:t>
      </w:r>
    </w:p>
    <w:p w14:paraId="7306831D" w14:textId="77777777" w:rsidR="004F1E59" w:rsidRDefault="00590DCC">
      <w:pPr>
        <w:widowControl/>
        <w:shd w:val="clear" w:color="auto" w:fill="FFFFFF"/>
        <w:spacing w:line="360" w:lineRule="auto"/>
        <w:ind w:firstLine="641"/>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绩效目标：</w:t>
      </w:r>
      <w:r>
        <w:rPr>
          <w:rFonts w:ascii="仿宋_GB2312" w:eastAsia="仿宋_GB2312" w:hAnsi="宋体" w:cs="宋体" w:hint="eastAsia"/>
          <w:color w:val="000000"/>
          <w:kern w:val="0"/>
          <w:sz w:val="32"/>
          <w:szCs w:val="32"/>
        </w:rPr>
        <w:t>立足四川中医药资源及文化基础、科研及产业优势，推动四川省</w:t>
      </w:r>
      <w:r>
        <w:rPr>
          <w:rFonts w:ascii="仿宋_GB2312" w:eastAsia="仿宋_GB2312" w:hAnsi="宋体" w:cs="宋体" w:hint="eastAsia"/>
          <w:color w:val="000000"/>
          <w:kern w:val="0"/>
          <w:sz w:val="32"/>
          <w:szCs w:val="32"/>
        </w:rPr>
        <w:t>中医药标准体系不断完善，培养一批中医药标准化专家人才队伍，使中医药标准化研究水平和标准制修订质量水平明显提高，孵化培育一批达到地方标准（</w:t>
      </w:r>
      <w:r>
        <w:rPr>
          <w:rFonts w:ascii="仿宋_GB2312" w:eastAsia="仿宋_GB2312" w:hAnsi="宋体" w:cs="宋体" w:hint="eastAsia"/>
          <w:color w:val="000000"/>
          <w:kern w:val="0"/>
          <w:sz w:val="32"/>
          <w:szCs w:val="32"/>
        </w:rPr>
        <w:t>DB</w:t>
      </w:r>
      <w:r>
        <w:rPr>
          <w:rFonts w:ascii="仿宋_GB2312" w:eastAsia="仿宋_GB2312" w:hAnsi="宋体" w:cs="宋体" w:hint="eastAsia"/>
          <w:color w:val="000000"/>
          <w:kern w:val="0"/>
          <w:sz w:val="32"/>
          <w:szCs w:val="32"/>
        </w:rPr>
        <w:t>）、行业标准、国家标准（</w:t>
      </w:r>
      <w:r>
        <w:rPr>
          <w:rFonts w:ascii="仿宋_GB2312" w:eastAsia="仿宋_GB2312" w:hAnsi="宋体" w:cs="宋体" w:hint="eastAsia"/>
          <w:color w:val="000000"/>
          <w:kern w:val="0"/>
          <w:sz w:val="32"/>
          <w:szCs w:val="32"/>
        </w:rPr>
        <w:t>GB</w:t>
      </w:r>
      <w:r>
        <w:rPr>
          <w:rFonts w:ascii="仿宋_GB2312" w:eastAsia="仿宋_GB2312" w:hAnsi="宋体" w:cs="宋体" w:hint="eastAsia"/>
          <w:color w:val="000000"/>
          <w:kern w:val="0"/>
          <w:sz w:val="32"/>
          <w:szCs w:val="32"/>
        </w:rPr>
        <w:t>）立项要求的中医药标准化项目。</w:t>
      </w:r>
    </w:p>
    <w:p w14:paraId="5BE0E878" w14:textId="77777777" w:rsidR="004F1E59" w:rsidRDefault="00590DCC">
      <w:pPr>
        <w:widowControl/>
        <w:shd w:val="clear" w:color="auto" w:fill="FFFFFF"/>
        <w:spacing w:line="360" w:lineRule="auto"/>
        <w:ind w:firstLine="640"/>
        <w:jc w:val="left"/>
        <w:rPr>
          <w:rFonts w:ascii="宋体" w:eastAsia="黑体" w:hAnsi="宋体" w:cs="宋体"/>
          <w:color w:val="000000"/>
          <w:kern w:val="0"/>
          <w:sz w:val="24"/>
          <w:szCs w:val="24"/>
        </w:rPr>
      </w:pPr>
      <w:r>
        <w:rPr>
          <w:rFonts w:ascii="黑体" w:eastAsia="黑体" w:hAnsi="黑体" w:cs="宋体" w:hint="eastAsia"/>
          <w:color w:val="000000"/>
          <w:kern w:val="0"/>
          <w:sz w:val="32"/>
          <w:szCs w:val="32"/>
        </w:rPr>
        <w:t>一</w:t>
      </w:r>
      <w:r>
        <w:rPr>
          <w:rFonts w:ascii="黑体" w:eastAsia="黑体" w:hAnsi="黑体" w:cs="宋体" w:hint="eastAsia"/>
          <w:color w:val="000000"/>
          <w:kern w:val="0"/>
          <w:sz w:val="32"/>
          <w:szCs w:val="32"/>
        </w:rPr>
        <w:t>、</w:t>
      </w:r>
      <w:r>
        <w:rPr>
          <w:rFonts w:ascii="黑体" w:eastAsia="黑体" w:hAnsi="黑体" w:cs="宋体" w:hint="eastAsia"/>
          <w:color w:val="000000"/>
          <w:kern w:val="0"/>
          <w:sz w:val="32"/>
          <w:szCs w:val="32"/>
        </w:rPr>
        <w:t>资金支持方式及经费</w:t>
      </w:r>
    </w:p>
    <w:p w14:paraId="5E432406" w14:textId="77777777" w:rsidR="004F1E59" w:rsidRDefault="00590DCC">
      <w:pPr>
        <w:widowControl/>
        <w:shd w:val="clear" w:color="auto" w:fill="FFFFFF"/>
        <w:spacing w:line="360" w:lineRule="auto"/>
        <w:ind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专项资金采取前补助支持方式，</w:t>
      </w:r>
      <w:r>
        <w:rPr>
          <w:rFonts w:ascii="仿宋_GB2312" w:eastAsia="仿宋_GB2312" w:hAnsi="宋体" w:cs="宋体" w:hint="eastAsia"/>
          <w:color w:val="000000"/>
          <w:kern w:val="0"/>
          <w:sz w:val="32"/>
          <w:szCs w:val="32"/>
        </w:rPr>
        <w:t>每个项目资助金额</w:t>
      </w:r>
      <w:r>
        <w:rPr>
          <w:rFonts w:ascii="仿宋_GB2312" w:eastAsia="仿宋_GB2312" w:hAnsi="宋体" w:cs="宋体" w:hint="eastAsia"/>
          <w:color w:val="000000"/>
          <w:kern w:val="0"/>
          <w:sz w:val="32"/>
          <w:szCs w:val="32"/>
        </w:rPr>
        <w:t>3</w:t>
      </w:r>
      <w:r>
        <w:rPr>
          <w:rFonts w:ascii="Times New Roman" w:eastAsia="仿宋_GB2312" w:hAnsi="Times New Roman" w:cs="Times New Roman"/>
          <w:color w:val="000000"/>
          <w:kern w:val="0"/>
          <w:sz w:val="32"/>
          <w:szCs w:val="32"/>
        </w:rPr>
        <w:t>~</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万元。</w:t>
      </w:r>
    </w:p>
    <w:p w14:paraId="50C9F19D" w14:textId="77777777" w:rsidR="004F1E59" w:rsidRDefault="00590DCC">
      <w:pPr>
        <w:widowControl/>
        <w:shd w:val="clear" w:color="auto" w:fill="FFFFFF"/>
        <w:spacing w:line="360" w:lineRule="auto"/>
        <w:ind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rPr>
        <w:t>二</w:t>
      </w:r>
      <w:r>
        <w:rPr>
          <w:rFonts w:ascii="黑体" w:eastAsia="黑体" w:hAnsi="黑体" w:cs="宋体" w:hint="eastAsia"/>
          <w:color w:val="000000"/>
          <w:kern w:val="0"/>
          <w:sz w:val="32"/>
          <w:szCs w:val="32"/>
        </w:rPr>
        <w:t>、</w:t>
      </w:r>
      <w:r>
        <w:rPr>
          <w:rFonts w:ascii="黑体" w:eastAsia="黑体" w:hAnsi="黑体" w:cs="宋体" w:hint="eastAsia"/>
          <w:color w:val="000000"/>
          <w:kern w:val="0"/>
          <w:sz w:val="32"/>
          <w:szCs w:val="32"/>
        </w:rPr>
        <w:t>实施</w:t>
      </w:r>
      <w:r>
        <w:rPr>
          <w:rFonts w:ascii="黑体" w:eastAsia="黑体" w:hAnsi="黑体" w:cs="宋体" w:hint="eastAsia"/>
          <w:color w:val="000000"/>
          <w:kern w:val="0"/>
          <w:sz w:val="32"/>
          <w:szCs w:val="32"/>
        </w:rPr>
        <w:t>周期</w:t>
      </w:r>
    </w:p>
    <w:p w14:paraId="6E470267" w14:textId="77777777" w:rsidR="004F1E59" w:rsidRDefault="00590DCC">
      <w:pPr>
        <w:widowControl/>
        <w:shd w:val="clear" w:color="auto" w:fill="FFFFFF"/>
        <w:spacing w:line="360"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项目</w:t>
      </w:r>
      <w:r>
        <w:rPr>
          <w:rFonts w:ascii="仿宋_GB2312" w:eastAsia="仿宋_GB2312" w:hAnsi="宋体" w:cs="宋体" w:hint="eastAsia"/>
          <w:color w:val="000000"/>
          <w:kern w:val="0"/>
          <w:sz w:val="32"/>
          <w:szCs w:val="32"/>
        </w:rPr>
        <w:t>实施</w:t>
      </w:r>
      <w:r>
        <w:rPr>
          <w:rFonts w:ascii="仿宋_GB2312" w:eastAsia="仿宋_GB2312" w:hAnsi="宋体" w:cs="宋体" w:hint="eastAsia"/>
          <w:color w:val="000000"/>
          <w:kern w:val="0"/>
          <w:sz w:val="32"/>
          <w:szCs w:val="32"/>
        </w:rPr>
        <w:t>周期为</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2020</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月至</w:t>
      </w:r>
      <w:r>
        <w:rPr>
          <w:rFonts w:ascii="仿宋_GB2312" w:eastAsia="仿宋_GB2312" w:hAnsi="宋体" w:cs="宋体" w:hint="eastAsia"/>
          <w:color w:val="000000"/>
          <w:kern w:val="0"/>
          <w:sz w:val="32"/>
          <w:szCs w:val="32"/>
        </w:rPr>
        <w:t>12</w:t>
      </w:r>
      <w:r>
        <w:rPr>
          <w:rFonts w:ascii="仿宋_GB2312" w:eastAsia="仿宋_GB2312" w:hAnsi="宋体" w:cs="宋体" w:hint="eastAsia"/>
          <w:color w:val="000000"/>
          <w:kern w:val="0"/>
          <w:sz w:val="32"/>
          <w:szCs w:val="32"/>
        </w:rPr>
        <w:t>月。</w:t>
      </w:r>
    </w:p>
    <w:p w14:paraId="3534189D" w14:textId="77777777" w:rsidR="004F1E59" w:rsidRDefault="00590DCC">
      <w:pPr>
        <w:widowControl/>
        <w:shd w:val="clear" w:color="auto" w:fill="FFFFFF"/>
        <w:spacing w:line="360" w:lineRule="auto"/>
        <w:ind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rPr>
        <w:t>三、项目申报及立项</w:t>
      </w:r>
      <w:r>
        <w:rPr>
          <w:rFonts w:ascii="黑体" w:eastAsia="黑体" w:hAnsi="黑体" w:cs="宋体" w:hint="eastAsia"/>
          <w:color w:val="000000"/>
          <w:kern w:val="0"/>
          <w:sz w:val="32"/>
          <w:szCs w:val="32"/>
        </w:rPr>
        <w:t>项目</w:t>
      </w:r>
      <w:r>
        <w:rPr>
          <w:rFonts w:ascii="黑体" w:eastAsia="黑体" w:hAnsi="黑体" w:cs="宋体" w:hint="eastAsia"/>
          <w:color w:val="000000"/>
          <w:kern w:val="0"/>
          <w:sz w:val="32"/>
          <w:szCs w:val="32"/>
        </w:rPr>
        <w:t>要求</w:t>
      </w:r>
    </w:p>
    <w:p w14:paraId="2AA107CB" w14:textId="77777777" w:rsidR="004F1E59" w:rsidRDefault="00590DCC">
      <w:pPr>
        <w:widowControl/>
        <w:shd w:val="clear" w:color="auto" w:fill="FFFFFF"/>
        <w:spacing w:line="360" w:lineRule="auto"/>
        <w:ind w:firstLine="640"/>
        <w:jc w:val="left"/>
        <w:rPr>
          <w:rFonts w:ascii="宋体" w:eastAsia="宋体" w:hAnsi="宋体" w:cs="宋体"/>
          <w:color w:val="000000"/>
          <w:kern w:val="0"/>
          <w:sz w:val="24"/>
          <w:szCs w:val="24"/>
        </w:rPr>
      </w:pPr>
      <w:r>
        <w:rPr>
          <w:rFonts w:ascii="楷体_GB2312" w:eastAsia="楷体_GB2312" w:hAnsi="宋体" w:cs="宋体" w:hint="eastAsia"/>
          <w:color w:val="000000"/>
          <w:kern w:val="0"/>
          <w:sz w:val="32"/>
          <w:szCs w:val="32"/>
        </w:rPr>
        <w:t>（一）申报项目要求</w:t>
      </w:r>
    </w:p>
    <w:p w14:paraId="7EB4B888" w14:textId="77777777" w:rsidR="004F1E59" w:rsidRDefault="00590DCC">
      <w:pPr>
        <w:widowControl/>
        <w:shd w:val="clear" w:color="auto" w:fill="FFFFFF"/>
        <w:spacing w:line="360" w:lineRule="auto"/>
        <w:ind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申报项目应具有中医药特色，且前期已有一定的标准化研究</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基础，研究成果要在中医药的某一细分领域、全行业或全省范围</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lastRenderedPageBreak/>
        <w:t>内普遍适用，具有广泛规范性、指导性和引领性，达到地方、行</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业或国家标准制（修）订立项的基本要求。</w:t>
      </w:r>
    </w:p>
    <w:p w14:paraId="761825AD" w14:textId="77777777" w:rsidR="004F1E59" w:rsidRDefault="00590DCC">
      <w:pPr>
        <w:widowControl/>
        <w:shd w:val="clear" w:color="auto" w:fill="FFFFFF"/>
        <w:spacing w:line="360" w:lineRule="auto"/>
        <w:ind w:firstLine="640"/>
        <w:jc w:val="left"/>
        <w:rPr>
          <w:rFonts w:ascii="宋体" w:eastAsia="宋体" w:hAnsi="宋体" w:cs="宋体"/>
          <w:color w:val="000000"/>
          <w:kern w:val="0"/>
          <w:sz w:val="24"/>
          <w:szCs w:val="24"/>
        </w:rPr>
      </w:pPr>
      <w:r>
        <w:rPr>
          <w:rFonts w:ascii="楷体_GB2312" w:eastAsia="楷体_GB2312" w:hAnsi="宋体" w:cs="宋体" w:hint="eastAsia"/>
          <w:color w:val="000000"/>
          <w:kern w:val="0"/>
          <w:sz w:val="32"/>
          <w:szCs w:val="32"/>
        </w:rPr>
        <w:t>（二）申报单位要求</w:t>
      </w:r>
    </w:p>
    <w:p w14:paraId="176A49D2" w14:textId="77777777" w:rsidR="004F1E59" w:rsidRDefault="00590DCC">
      <w:pPr>
        <w:widowControl/>
        <w:shd w:val="clear" w:color="auto" w:fill="FFFFFF"/>
        <w:spacing w:line="360"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中医医疗机构（含中西医结合）、企事业单位、高校、科</w:t>
      </w:r>
      <w:r>
        <w:rPr>
          <w:rFonts w:ascii="仿宋_GB2312" w:eastAsia="仿宋_GB2312" w:hAnsi="宋体" w:cs="宋体" w:hint="eastAsia"/>
          <w:color w:val="000000"/>
          <w:kern w:val="0"/>
          <w:sz w:val="32"/>
          <w:szCs w:val="32"/>
        </w:rPr>
        <w:t xml:space="preserve"> </w:t>
      </w:r>
      <w:proofErr w:type="gramStart"/>
      <w:r>
        <w:rPr>
          <w:rFonts w:ascii="仿宋_GB2312" w:eastAsia="仿宋_GB2312" w:hAnsi="宋体" w:cs="宋体" w:hint="eastAsia"/>
          <w:color w:val="000000"/>
          <w:kern w:val="0"/>
          <w:sz w:val="32"/>
          <w:szCs w:val="32"/>
        </w:rPr>
        <w:t>研</w:t>
      </w:r>
      <w:proofErr w:type="gramEnd"/>
      <w:r>
        <w:rPr>
          <w:rFonts w:ascii="仿宋_GB2312" w:eastAsia="仿宋_GB2312" w:hAnsi="宋体" w:cs="宋体" w:hint="eastAsia"/>
          <w:color w:val="000000"/>
          <w:kern w:val="0"/>
          <w:sz w:val="32"/>
          <w:szCs w:val="32"/>
        </w:rPr>
        <w:t>院所等均可申报。</w:t>
      </w:r>
      <w:r>
        <w:rPr>
          <w:rFonts w:ascii="仿宋_GB2312" w:eastAsia="仿宋_GB2312" w:hAnsi="宋体" w:cs="宋体" w:hint="eastAsia"/>
          <w:color w:val="000000"/>
          <w:kern w:val="0"/>
          <w:sz w:val="32"/>
          <w:szCs w:val="32"/>
        </w:rPr>
        <w:t xml:space="preserve"> </w:t>
      </w:r>
    </w:p>
    <w:p w14:paraId="639ECD63" w14:textId="77777777" w:rsidR="004F1E59" w:rsidRDefault="00590DCC">
      <w:pPr>
        <w:widowControl/>
        <w:shd w:val="clear" w:color="auto" w:fill="FFFFFF"/>
        <w:spacing w:line="360"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联合申报的项目，需明确项目牵头单位和项目负责人，并</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明确知识产权归属。项目合作单位应以合同形式确认合作关系。</w:t>
      </w:r>
      <w:r>
        <w:rPr>
          <w:rFonts w:ascii="仿宋_GB2312" w:eastAsia="仿宋_GB2312" w:hAnsi="宋体" w:cs="宋体" w:hint="eastAsia"/>
          <w:color w:val="000000"/>
          <w:kern w:val="0"/>
          <w:sz w:val="32"/>
          <w:szCs w:val="32"/>
        </w:rPr>
        <w:t xml:space="preserve"> </w:t>
      </w:r>
    </w:p>
    <w:p w14:paraId="5E3A2F79" w14:textId="77777777" w:rsidR="004F1E59" w:rsidRDefault="00590DCC">
      <w:pPr>
        <w:widowControl/>
        <w:shd w:val="clear" w:color="auto" w:fill="FFFFFF"/>
        <w:spacing w:line="360"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鼓励有技术和经费能力、重视标准化工作的单位作为项目</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申报单位（鼓励多家单位联合制定）。</w:t>
      </w:r>
      <w:r>
        <w:rPr>
          <w:rFonts w:ascii="仿宋_GB2312" w:eastAsia="仿宋_GB2312" w:hAnsi="宋体" w:cs="宋体" w:hint="eastAsia"/>
          <w:color w:val="000000"/>
          <w:kern w:val="0"/>
          <w:sz w:val="32"/>
          <w:szCs w:val="32"/>
        </w:rPr>
        <w:t xml:space="preserve"> </w:t>
      </w:r>
    </w:p>
    <w:p w14:paraId="793C0CFF" w14:textId="77777777" w:rsidR="004F1E59" w:rsidRDefault="00590DCC">
      <w:pPr>
        <w:widowControl/>
        <w:shd w:val="clear" w:color="auto" w:fill="FFFFFF"/>
        <w:spacing w:line="360" w:lineRule="auto"/>
        <w:ind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（三）项目负责人要求</w:t>
      </w:r>
      <w:r>
        <w:rPr>
          <w:rFonts w:ascii="楷体_GB2312" w:eastAsia="楷体_GB2312" w:hAnsi="宋体" w:cs="宋体" w:hint="eastAsia"/>
          <w:color w:val="000000"/>
          <w:kern w:val="0"/>
          <w:sz w:val="32"/>
          <w:szCs w:val="32"/>
        </w:rPr>
        <w:t xml:space="preserve"> </w:t>
      </w:r>
    </w:p>
    <w:p w14:paraId="0FCB7CE3" w14:textId="77777777" w:rsidR="004F1E59" w:rsidRDefault="00590DCC">
      <w:pPr>
        <w:widowControl/>
        <w:shd w:val="clear" w:color="auto" w:fill="FFFFFF"/>
        <w:spacing w:line="360"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项目负责人应具备中级以上（含）专业技术职称的在职人</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员或中医药行政管理人员；在企业中长期从事相关技术工作（</w:t>
      </w:r>
      <w:r>
        <w:rPr>
          <w:rFonts w:ascii="仿宋_GB2312" w:eastAsia="仿宋_GB2312" w:hAnsi="宋体" w:cs="宋体" w:hint="eastAsia"/>
          <w:color w:val="000000"/>
          <w:kern w:val="0"/>
          <w:sz w:val="32"/>
          <w:szCs w:val="32"/>
        </w:rPr>
        <w:t xml:space="preserve">5 </w:t>
      </w:r>
      <w:r>
        <w:rPr>
          <w:rFonts w:ascii="仿宋_GB2312" w:eastAsia="仿宋_GB2312" w:hAnsi="宋体" w:cs="宋体" w:hint="eastAsia"/>
          <w:color w:val="000000"/>
          <w:kern w:val="0"/>
          <w:sz w:val="32"/>
          <w:szCs w:val="32"/>
        </w:rPr>
        <w:t>年以上）的，具有中医药标准化相关工作经验者优先。</w:t>
      </w:r>
      <w:r>
        <w:rPr>
          <w:rFonts w:ascii="仿宋_GB2312" w:eastAsia="仿宋_GB2312" w:hAnsi="宋体" w:cs="宋体" w:hint="eastAsia"/>
          <w:color w:val="000000"/>
          <w:kern w:val="0"/>
          <w:sz w:val="32"/>
          <w:szCs w:val="32"/>
        </w:rPr>
        <w:t xml:space="preserve"> </w:t>
      </w:r>
    </w:p>
    <w:p w14:paraId="0C82D9D3" w14:textId="77777777" w:rsidR="004F1E59" w:rsidRDefault="00590DCC">
      <w:pPr>
        <w:widowControl/>
        <w:shd w:val="clear" w:color="auto" w:fill="FFFFFF"/>
        <w:spacing w:line="360"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项目负责人必须是实际主持和从事研究工作的在职人员。</w:t>
      </w:r>
    </w:p>
    <w:p w14:paraId="12EB2076" w14:textId="77777777" w:rsidR="004F1E59" w:rsidRDefault="00590DCC">
      <w:pPr>
        <w:widowControl/>
        <w:shd w:val="clear" w:color="auto" w:fill="FFFFFF"/>
        <w:spacing w:line="360" w:lineRule="auto"/>
        <w:ind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（四）立项项目考核要求</w:t>
      </w:r>
    </w:p>
    <w:p w14:paraId="61491A2B" w14:textId="77777777" w:rsidR="004F1E59" w:rsidRDefault="00590DCC">
      <w:pPr>
        <w:widowControl/>
        <w:shd w:val="clear" w:color="auto" w:fill="FFFFFF"/>
        <w:spacing w:line="360" w:lineRule="auto"/>
        <w:ind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项目</w:t>
      </w:r>
      <w:r>
        <w:rPr>
          <w:rFonts w:ascii="仿宋_GB2312" w:eastAsia="仿宋_GB2312" w:hAnsi="宋体" w:cs="宋体" w:hint="eastAsia"/>
          <w:color w:val="000000"/>
          <w:kern w:val="0"/>
          <w:sz w:val="32"/>
          <w:szCs w:val="32"/>
        </w:rPr>
        <w:t>结题验收、成果鉴定需按照任务书规定提供</w:t>
      </w:r>
      <w:r>
        <w:rPr>
          <w:rFonts w:ascii="仿宋_GB2312" w:eastAsia="仿宋_GB2312" w:hAnsi="宋体" w:cs="宋体" w:hint="eastAsia"/>
          <w:color w:val="000000"/>
          <w:kern w:val="0"/>
          <w:sz w:val="32"/>
          <w:szCs w:val="32"/>
        </w:rPr>
        <w:t>项目</w:t>
      </w:r>
      <w:r>
        <w:rPr>
          <w:rFonts w:ascii="仿宋_GB2312" w:eastAsia="仿宋_GB2312" w:hAnsi="宋体" w:cs="宋体" w:hint="eastAsia"/>
          <w:color w:val="000000"/>
          <w:kern w:val="0"/>
          <w:sz w:val="32"/>
          <w:szCs w:val="32"/>
        </w:rPr>
        <w:t>研究报告、相关技术资料和论文等成果</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项目结题时需形成标准草案，至少达到四川省地方标准立项的要求。</w:t>
      </w:r>
    </w:p>
    <w:p w14:paraId="4C7DD284" w14:textId="77777777" w:rsidR="004F1E59" w:rsidRDefault="00590DCC">
      <w:pPr>
        <w:widowControl/>
        <w:shd w:val="clear" w:color="auto" w:fill="FFFFFF"/>
        <w:spacing w:line="360" w:lineRule="auto"/>
        <w:ind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rPr>
        <w:t>四</w:t>
      </w:r>
      <w:r>
        <w:rPr>
          <w:rFonts w:ascii="黑体" w:eastAsia="黑体" w:hAnsi="黑体" w:cs="宋体" w:hint="eastAsia"/>
          <w:color w:val="000000"/>
          <w:kern w:val="0"/>
          <w:sz w:val="32"/>
          <w:szCs w:val="32"/>
        </w:rPr>
        <w:t>、项目</w:t>
      </w:r>
      <w:r>
        <w:rPr>
          <w:rFonts w:ascii="黑体" w:eastAsia="黑体" w:hAnsi="黑体" w:cs="宋体" w:hint="eastAsia"/>
          <w:color w:val="000000"/>
          <w:kern w:val="0"/>
          <w:sz w:val="32"/>
          <w:szCs w:val="32"/>
        </w:rPr>
        <w:t>申报</w:t>
      </w:r>
      <w:r>
        <w:rPr>
          <w:rFonts w:ascii="黑体" w:eastAsia="黑体" w:hAnsi="黑体" w:cs="宋体" w:hint="eastAsia"/>
          <w:color w:val="000000"/>
          <w:kern w:val="0"/>
          <w:sz w:val="32"/>
          <w:szCs w:val="32"/>
        </w:rPr>
        <w:t>范围</w:t>
      </w:r>
    </w:p>
    <w:p w14:paraId="1201E534" w14:textId="3431E364" w:rsidR="004F1E59" w:rsidRDefault="00590DCC">
      <w:pPr>
        <w:widowControl/>
        <w:shd w:val="clear" w:color="auto" w:fill="FFFFFF"/>
        <w:spacing w:line="360" w:lineRule="auto"/>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涵盖中医药各相关领域，包括</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川产道地及大宗中药材、中医临床（含中西医结合）、中医药</w:t>
      </w:r>
      <w:r>
        <w:rPr>
          <w:rFonts w:ascii="仿宋_GB2312" w:eastAsia="仿宋_GB2312" w:hAnsi="宋体" w:cs="宋体" w:hint="eastAsia"/>
          <w:color w:val="000000"/>
          <w:kern w:val="0"/>
          <w:sz w:val="32"/>
          <w:szCs w:val="32"/>
        </w:rPr>
        <w:t>装备、中医药管理规范</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中医药教育、大健康、民族医药及其他</w:t>
      </w:r>
      <w:r>
        <w:rPr>
          <w:rFonts w:ascii="仿宋_GB2312" w:eastAsia="仿宋_GB2312" w:hAnsi="宋体" w:cs="宋体" w:hint="eastAsia"/>
          <w:color w:val="000000"/>
          <w:kern w:val="0"/>
          <w:sz w:val="32"/>
          <w:szCs w:val="32"/>
        </w:rPr>
        <w:t>。</w:t>
      </w:r>
    </w:p>
    <w:p w14:paraId="6DC2A7CC" w14:textId="77777777" w:rsidR="004F1E59" w:rsidRDefault="00590DCC">
      <w:pPr>
        <w:widowControl/>
        <w:shd w:val="clear" w:color="auto" w:fill="FFFFFF"/>
        <w:spacing w:line="360" w:lineRule="auto"/>
        <w:ind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（一）中药材标准化研究</w:t>
      </w:r>
    </w:p>
    <w:p w14:paraId="5FAC27E1" w14:textId="77777777" w:rsidR="004F1E59" w:rsidRDefault="00590DCC">
      <w:pPr>
        <w:widowControl/>
        <w:numPr>
          <w:ilvl w:val="255"/>
          <w:numId w:val="0"/>
        </w:numPr>
        <w:shd w:val="clear" w:color="auto" w:fill="FFFFFF"/>
        <w:spacing w:line="360" w:lineRule="auto"/>
        <w:ind w:firstLineChars="200" w:firstLine="640"/>
        <w:jc w:val="left"/>
        <w:rPr>
          <w:rFonts w:ascii="黑体" w:eastAsia="黑体" w:hAnsi="黑体" w:cs="宋体"/>
          <w:color w:val="000000"/>
          <w:kern w:val="0"/>
          <w:sz w:val="32"/>
          <w:szCs w:val="32"/>
        </w:rPr>
      </w:pPr>
      <w:r>
        <w:rPr>
          <w:rFonts w:ascii="仿宋_GB2312" w:eastAsia="仿宋_GB2312" w:hAnsi="宋体" w:cs="宋体" w:hint="eastAsia"/>
          <w:color w:val="000000"/>
          <w:kern w:val="0"/>
          <w:sz w:val="32"/>
          <w:szCs w:val="32"/>
        </w:rPr>
        <w:lastRenderedPageBreak/>
        <w:t>围绕川产道地及大宗中药材，开展川产道地中药材认证标准研究、种子种苗标准化研究、种植与养殖技术规范研究、采收初加工技术规范研究、中药饮片炮制工艺技术规范研究（含产地加工与炮制一体化）、中药材及饮片商品规格等级标准研究、包装贮藏运输技术规范研究、中药材及饮片质量溯源体系研究及其他中药材相关标准化研究。</w:t>
      </w:r>
    </w:p>
    <w:p w14:paraId="6A82DCCB" w14:textId="77777777" w:rsidR="004F1E59" w:rsidRDefault="00590DCC">
      <w:pPr>
        <w:widowControl/>
        <w:shd w:val="clear" w:color="auto" w:fill="FFFFFF"/>
        <w:spacing w:line="360" w:lineRule="auto"/>
        <w:ind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（二）中医标准化研究</w:t>
      </w:r>
    </w:p>
    <w:p w14:paraId="395D53D4" w14:textId="77777777" w:rsidR="004F1E59" w:rsidRDefault="00590DCC">
      <w:pPr>
        <w:widowControl/>
        <w:numPr>
          <w:ilvl w:val="255"/>
          <w:numId w:val="0"/>
        </w:numPr>
        <w:shd w:val="clear" w:color="auto" w:fill="FFFFFF"/>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开展</w:t>
      </w:r>
      <w:r>
        <w:rPr>
          <w:rFonts w:ascii="仿宋_GB2312" w:eastAsia="仿宋_GB2312" w:hAnsi="宋体" w:cs="宋体" w:hint="eastAsia"/>
          <w:color w:val="333333"/>
          <w:kern w:val="0"/>
          <w:sz w:val="32"/>
          <w:szCs w:val="32"/>
        </w:rPr>
        <w:t>中医诊疗技术标准体系</w:t>
      </w:r>
      <w:r>
        <w:rPr>
          <w:rFonts w:ascii="仿宋_GB2312" w:eastAsia="仿宋_GB2312" w:hAnsi="宋体" w:cs="宋体" w:hint="eastAsia"/>
          <w:color w:val="000000"/>
          <w:kern w:val="0"/>
          <w:sz w:val="32"/>
          <w:szCs w:val="32"/>
        </w:rPr>
        <w:t>研究</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开展具有川派</w:t>
      </w:r>
      <w:r>
        <w:rPr>
          <w:rFonts w:ascii="仿宋_GB2312" w:eastAsia="仿宋_GB2312" w:hAnsi="宋体" w:cs="宋体" w:hint="eastAsia"/>
          <w:color w:val="333333"/>
          <w:kern w:val="0"/>
          <w:sz w:val="32"/>
          <w:szCs w:val="32"/>
        </w:rPr>
        <w:t>中医</w:t>
      </w:r>
      <w:r>
        <w:rPr>
          <w:rFonts w:ascii="仿宋_GB2312" w:eastAsia="仿宋_GB2312" w:hAnsi="宋体" w:cs="宋体" w:hint="eastAsia"/>
          <w:color w:val="000000"/>
          <w:kern w:val="0"/>
          <w:sz w:val="32"/>
          <w:szCs w:val="32"/>
        </w:rPr>
        <w:t>特色的</w:t>
      </w:r>
      <w:r>
        <w:rPr>
          <w:rFonts w:ascii="仿宋_GB2312" w:eastAsia="仿宋_GB2312" w:hAnsi="宋体" w:cs="宋体" w:hint="eastAsia"/>
          <w:color w:val="333333"/>
          <w:kern w:val="0"/>
          <w:sz w:val="32"/>
          <w:szCs w:val="32"/>
        </w:rPr>
        <w:t>常见病证诊疗指南、针灸治疗指南</w:t>
      </w:r>
      <w:r>
        <w:rPr>
          <w:rFonts w:ascii="仿宋_GB2312" w:eastAsia="仿宋_GB2312" w:hAnsi="宋体" w:cs="宋体" w:hint="eastAsia"/>
          <w:color w:val="000000"/>
          <w:kern w:val="0"/>
          <w:sz w:val="32"/>
          <w:szCs w:val="32"/>
        </w:rPr>
        <w:t>研究</w:t>
      </w:r>
      <w:r>
        <w:rPr>
          <w:rFonts w:ascii="仿宋_GB2312" w:eastAsia="仿宋_GB2312" w:hAnsi="宋体" w:cs="宋体" w:hint="eastAsia"/>
          <w:color w:val="000000"/>
          <w:kern w:val="0"/>
          <w:sz w:val="32"/>
          <w:szCs w:val="32"/>
        </w:rPr>
        <w:t>；</w:t>
      </w:r>
      <w:r>
        <w:rPr>
          <w:rFonts w:ascii="仿宋_GB2312" w:eastAsia="仿宋_GB2312" w:hAnsi="宋体" w:cs="宋体" w:hint="eastAsia"/>
          <w:color w:val="333333"/>
          <w:kern w:val="0"/>
          <w:sz w:val="32"/>
          <w:szCs w:val="32"/>
        </w:rPr>
        <w:t>探索中西医结合诊疗指南的研究</w:t>
      </w:r>
      <w:r>
        <w:rPr>
          <w:rFonts w:ascii="仿宋_GB2312" w:eastAsia="仿宋_GB2312" w:hAnsi="宋体" w:cs="宋体" w:hint="eastAsia"/>
          <w:color w:val="000000"/>
          <w:kern w:val="0"/>
          <w:sz w:val="32"/>
          <w:szCs w:val="32"/>
        </w:rPr>
        <w:t>；</w:t>
      </w:r>
      <w:r>
        <w:rPr>
          <w:rFonts w:ascii="仿宋_GB2312" w:eastAsia="仿宋_GB2312" w:hAnsi="宋体" w:cs="宋体" w:hint="eastAsia"/>
          <w:color w:val="333333"/>
          <w:kern w:val="0"/>
          <w:sz w:val="32"/>
          <w:szCs w:val="32"/>
        </w:rPr>
        <w:t>开展中医诊疗指南制修订方法研究，制定针灸治疗指南制修订通则和评估规范</w:t>
      </w:r>
      <w:r>
        <w:rPr>
          <w:rFonts w:ascii="仿宋_GB2312" w:eastAsia="仿宋_GB2312" w:hAnsi="宋体" w:cs="宋体" w:hint="eastAsia"/>
          <w:color w:val="000000"/>
          <w:kern w:val="0"/>
          <w:sz w:val="32"/>
          <w:szCs w:val="32"/>
        </w:rPr>
        <w:t>研究</w:t>
      </w:r>
      <w:r>
        <w:rPr>
          <w:rFonts w:ascii="仿宋_GB2312" w:eastAsia="仿宋_GB2312" w:hAnsi="宋体" w:cs="宋体" w:hint="eastAsia"/>
          <w:color w:val="333333"/>
          <w:kern w:val="0"/>
          <w:sz w:val="32"/>
          <w:szCs w:val="32"/>
        </w:rPr>
        <w:t>，进一步提高制修订质量和水平。</w:t>
      </w:r>
      <w:r>
        <w:rPr>
          <w:rFonts w:ascii="仿宋_GB2312" w:eastAsia="仿宋_GB2312" w:hAnsi="宋体" w:cs="宋体" w:hint="eastAsia"/>
          <w:color w:val="000000"/>
          <w:kern w:val="0"/>
          <w:sz w:val="32"/>
          <w:szCs w:val="32"/>
        </w:rPr>
        <w:t>开展</w:t>
      </w:r>
      <w:r>
        <w:rPr>
          <w:rFonts w:ascii="仿宋_GB2312" w:eastAsia="仿宋_GB2312" w:hAnsi="宋体" w:cs="宋体" w:hint="eastAsia"/>
          <w:color w:val="333333"/>
          <w:kern w:val="0"/>
          <w:sz w:val="32"/>
          <w:szCs w:val="32"/>
        </w:rPr>
        <w:t>中医诊疗技术操作规范的研究，</w:t>
      </w:r>
      <w:r>
        <w:rPr>
          <w:rFonts w:ascii="仿宋_GB2312" w:eastAsia="仿宋_GB2312" w:hAnsi="宋体" w:cs="宋体" w:hint="eastAsia"/>
          <w:color w:val="000000"/>
          <w:kern w:val="0"/>
          <w:sz w:val="32"/>
          <w:szCs w:val="32"/>
        </w:rPr>
        <w:t>包括特色</w:t>
      </w:r>
      <w:r>
        <w:rPr>
          <w:rFonts w:ascii="仿宋_GB2312" w:eastAsia="仿宋_GB2312" w:hAnsi="宋体" w:cs="宋体" w:hint="eastAsia"/>
          <w:color w:val="333333"/>
          <w:kern w:val="0"/>
          <w:sz w:val="32"/>
          <w:szCs w:val="32"/>
        </w:rPr>
        <w:t>针灸、推拿等中医常用诊疗技术</w:t>
      </w:r>
      <w:r>
        <w:rPr>
          <w:rFonts w:ascii="仿宋_GB2312" w:eastAsia="仿宋_GB2312" w:hAnsi="宋体" w:cs="宋体" w:hint="eastAsia"/>
          <w:color w:val="000000"/>
          <w:kern w:val="0"/>
          <w:sz w:val="32"/>
          <w:szCs w:val="32"/>
        </w:rPr>
        <w:t>规范研究</w:t>
      </w:r>
      <w:r>
        <w:rPr>
          <w:rFonts w:ascii="仿宋_GB2312" w:eastAsia="仿宋_GB2312" w:hAnsi="宋体" w:cs="宋体" w:hint="eastAsia"/>
          <w:color w:val="000000"/>
          <w:kern w:val="0"/>
          <w:sz w:val="32"/>
          <w:szCs w:val="32"/>
        </w:rPr>
        <w:t>；</w:t>
      </w:r>
      <w:r>
        <w:rPr>
          <w:rFonts w:ascii="仿宋_GB2312" w:eastAsia="仿宋_GB2312" w:hAnsi="宋体" w:cs="宋体" w:hint="eastAsia"/>
          <w:color w:val="333333"/>
          <w:kern w:val="0"/>
          <w:sz w:val="32"/>
          <w:szCs w:val="32"/>
        </w:rPr>
        <w:t>开展中医护理技术规范的</w:t>
      </w:r>
      <w:r>
        <w:rPr>
          <w:rFonts w:ascii="仿宋_GB2312" w:eastAsia="仿宋_GB2312" w:hAnsi="宋体" w:cs="宋体" w:hint="eastAsia"/>
          <w:color w:val="000000"/>
          <w:kern w:val="0"/>
          <w:sz w:val="32"/>
          <w:szCs w:val="32"/>
        </w:rPr>
        <w:t>研究</w:t>
      </w:r>
      <w:r>
        <w:rPr>
          <w:rFonts w:ascii="仿宋_GB2312" w:eastAsia="仿宋_GB2312" w:hAnsi="宋体" w:cs="宋体" w:hint="eastAsia"/>
          <w:color w:val="333333"/>
          <w:kern w:val="0"/>
          <w:sz w:val="32"/>
          <w:szCs w:val="32"/>
        </w:rPr>
        <w:t>。围绕中医临床疗效评价的关键问题，</w:t>
      </w:r>
      <w:r>
        <w:rPr>
          <w:rFonts w:ascii="仿宋_GB2312" w:eastAsia="仿宋_GB2312" w:hAnsi="宋体" w:cs="宋体" w:hint="eastAsia"/>
          <w:color w:val="000000"/>
          <w:kern w:val="0"/>
          <w:sz w:val="32"/>
          <w:szCs w:val="32"/>
        </w:rPr>
        <w:t>开展</w:t>
      </w:r>
      <w:r>
        <w:rPr>
          <w:rFonts w:ascii="仿宋_GB2312" w:eastAsia="仿宋_GB2312" w:hAnsi="宋体" w:cs="宋体" w:hint="eastAsia"/>
          <w:color w:val="333333"/>
          <w:kern w:val="0"/>
          <w:sz w:val="32"/>
          <w:szCs w:val="32"/>
        </w:rPr>
        <w:t>中医疗效评价方法研究，为进一步提高中医医疗服务水平提供技术支撑</w:t>
      </w:r>
      <w:r>
        <w:rPr>
          <w:rFonts w:ascii="仿宋_GB2312" w:eastAsia="仿宋_GB2312" w:hAnsi="宋体" w:cs="宋体" w:hint="eastAsia"/>
          <w:color w:val="000000"/>
          <w:kern w:val="0"/>
          <w:sz w:val="32"/>
          <w:szCs w:val="32"/>
        </w:rPr>
        <w:t>；开展中医</w:t>
      </w:r>
      <w:r>
        <w:rPr>
          <w:rFonts w:ascii="仿宋_GB2312" w:eastAsia="仿宋_GB2312" w:hAnsi="宋体" w:cs="宋体" w:hint="eastAsia"/>
          <w:color w:val="000000"/>
          <w:kern w:val="0"/>
          <w:sz w:val="32"/>
          <w:szCs w:val="32"/>
        </w:rPr>
        <w:t>预防</w:t>
      </w:r>
      <w:r>
        <w:rPr>
          <w:rFonts w:ascii="仿宋_GB2312" w:eastAsia="仿宋_GB2312" w:hAnsi="宋体" w:cs="宋体" w:hint="eastAsia"/>
          <w:color w:val="000000"/>
          <w:kern w:val="0"/>
          <w:sz w:val="32"/>
          <w:szCs w:val="32"/>
        </w:rPr>
        <w:t>保健指南的研究</w:t>
      </w:r>
      <w:r>
        <w:rPr>
          <w:rFonts w:ascii="仿宋_GB2312" w:eastAsia="仿宋_GB2312" w:hAnsi="宋体" w:cs="宋体" w:hint="eastAsia"/>
          <w:color w:val="000000"/>
          <w:kern w:val="0"/>
          <w:sz w:val="32"/>
          <w:szCs w:val="32"/>
        </w:rPr>
        <w:t>及其他中医相关标准化研究</w:t>
      </w:r>
      <w:r>
        <w:rPr>
          <w:rFonts w:ascii="仿宋_GB2312" w:eastAsia="仿宋_GB2312" w:hAnsi="宋体" w:cs="宋体" w:hint="eastAsia"/>
          <w:color w:val="333333"/>
          <w:kern w:val="0"/>
          <w:sz w:val="32"/>
          <w:szCs w:val="32"/>
        </w:rPr>
        <w:t>。</w:t>
      </w:r>
    </w:p>
    <w:p w14:paraId="4C65BE10" w14:textId="77777777" w:rsidR="004F1E59" w:rsidRDefault="00590DCC">
      <w:pPr>
        <w:widowControl/>
        <w:shd w:val="clear" w:color="auto" w:fill="FFFFFF"/>
        <w:spacing w:line="360" w:lineRule="auto"/>
        <w:ind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（三）</w:t>
      </w:r>
      <w:proofErr w:type="gramStart"/>
      <w:r>
        <w:rPr>
          <w:rFonts w:ascii="楷体_GB2312" w:eastAsia="楷体_GB2312" w:hAnsi="宋体" w:cs="宋体" w:hint="eastAsia"/>
          <w:color w:val="000000"/>
          <w:kern w:val="0"/>
          <w:sz w:val="32"/>
          <w:szCs w:val="32"/>
        </w:rPr>
        <w:t>中医药康养及</w:t>
      </w:r>
      <w:proofErr w:type="gramEnd"/>
      <w:r>
        <w:rPr>
          <w:rFonts w:ascii="楷体_GB2312" w:eastAsia="楷体_GB2312" w:hAnsi="宋体" w:cs="宋体" w:hint="eastAsia"/>
          <w:color w:val="000000"/>
          <w:kern w:val="0"/>
          <w:sz w:val="32"/>
          <w:szCs w:val="32"/>
        </w:rPr>
        <w:t>大健康领域标准化研究</w:t>
      </w:r>
    </w:p>
    <w:p w14:paraId="763941AD" w14:textId="77777777" w:rsidR="004F1E59" w:rsidRDefault="00590DCC">
      <w:pPr>
        <w:widowControl/>
        <w:numPr>
          <w:ilvl w:val="255"/>
          <w:numId w:val="0"/>
        </w:numPr>
        <w:shd w:val="clear" w:color="auto" w:fill="FFFFFF"/>
        <w:spacing w:line="360" w:lineRule="auto"/>
        <w:ind w:firstLineChars="200" w:firstLine="640"/>
        <w:jc w:val="left"/>
        <w:rPr>
          <w:rFonts w:ascii="黑体" w:eastAsia="黑体" w:hAnsi="黑体" w:cs="宋体"/>
          <w:color w:val="000000"/>
          <w:kern w:val="0"/>
          <w:sz w:val="32"/>
          <w:szCs w:val="32"/>
        </w:rPr>
      </w:pPr>
      <w:r>
        <w:rPr>
          <w:rFonts w:ascii="仿宋_GB2312" w:eastAsia="仿宋_GB2312" w:hAnsi="宋体" w:cs="宋体" w:hint="eastAsia"/>
          <w:color w:val="000000"/>
          <w:kern w:val="0"/>
          <w:sz w:val="32"/>
          <w:szCs w:val="32"/>
        </w:rPr>
        <w:t>开展中医保健技术规范化</w:t>
      </w:r>
      <w:r>
        <w:rPr>
          <w:rFonts w:ascii="仿宋_GB2312" w:eastAsia="仿宋_GB2312" w:hAnsi="宋体" w:cs="宋体" w:hint="eastAsia"/>
          <w:color w:val="000000"/>
          <w:kern w:val="0"/>
          <w:sz w:val="32"/>
          <w:szCs w:val="32"/>
        </w:rPr>
        <w:t>研究，开展艾</w:t>
      </w:r>
      <w:proofErr w:type="gramStart"/>
      <w:r>
        <w:rPr>
          <w:rFonts w:ascii="仿宋_GB2312" w:eastAsia="仿宋_GB2312" w:hAnsi="宋体" w:cs="宋体" w:hint="eastAsia"/>
          <w:color w:val="000000"/>
          <w:kern w:val="0"/>
          <w:sz w:val="32"/>
          <w:szCs w:val="32"/>
        </w:rPr>
        <w:t>灸</w:t>
      </w:r>
      <w:proofErr w:type="gramEnd"/>
      <w:r>
        <w:rPr>
          <w:rFonts w:ascii="仿宋_GB2312" w:eastAsia="仿宋_GB2312" w:hAnsi="宋体" w:cs="宋体" w:hint="eastAsia"/>
          <w:color w:val="000000"/>
          <w:kern w:val="0"/>
          <w:sz w:val="32"/>
          <w:szCs w:val="32"/>
        </w:rPr>
        <w:t>、膏方、全身推拿等中医养生保健技术操作规范研究；开展</w:t>
      </w:r>
      <w:proofErr w:type="gramStart"/>
      <w:r>
        <w:rPr>
          <w:rFonts w:ascii="仿宋_GB2312" w:eastAsia="仿宋_GB2312" w:hAnsi="宋体" w:cs="宋体" w:hint="eastAsia"/>
          <w:color w:val="000000"/>
          <w:kern w:val="0"/>
          <w:sz w:val="32"/>
          <w:szCs w:val="32"/>
        </w:rPr>
        <w:t>中医药康养及</w:t>
      </w:r>
      <w:proofErr w:type="gramEnd"/>
      <w:r>
        <w:rPr>
          <w:rFonts w:ascii="仿宋_GB2312" w:eastAsia="仿宋_GB2312" w:hAnsi="宋体" w:cs="宋体" w:hint="eastAsia"/>
          <w:color w:val="000000"/>
          <w:kern w:val="0"/>
          <w:sz w:val="32"/>
          <w:szCs w:val="32"/>
        </w:rPr>
        <w:t>大健康相关标准化研究。</w:t>
      </w:r>
    </w:p>
    <w:p w14:paraId="0D999033" w14:textId="77777777" w:rsidR="004F1E59" w:rsidRDefault="00590DCC">
      <w:pPr>
        <w:widowControl/>
        <w:shd w:val="clear" w:color="auto" w:fill="FFFFFF"/>
        <w:spacing w:line="360" w:lineRule="auto"/>
        <w:ind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（四）中医药装备相关标准化研究</w:t>
      </w:r>
    </w:p>
    <w:p w14:paraId="573D9BDD" w14:textId="77777777" w:rsidR="004F1E59" w:rsidRDefault="00590DCC">
      <w:pPr>
        <w:widowControl/>
        <w:numPr>
          <w:ilvl w:val="255"/>
          <w:numId w:val="0"/>
        </w:numPr>
        <w:shd w:val="clear" w:color="auto" w:fill="FFFFFF"/>
        <w:spacing w:line="360" w:lineRule="auto"/>
        <w:jc w:val="left"/>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 xml:space="preserve">    </w:t>
      </w:r>
      <w:r>
        <w:rPr>
          <w:rFonts w:ascii="仿宋_GB2312" w:eastAsia="仿宋_GB2312" w:hAnsi="宋体" w:cs="宋体" w:hint="eastAsia"/>
          <w:color w:val="000000"/>
          <w:kern w:val="0"/>
          <w:sz w:val="32"/>
          <w:szCs w:val="32"/>
        </w:rPr>
        <w:t>开展中医药全产业链相关装备的标准化研究。</w:t>
      </w:r>
    </w:p>
    <w:p w14:paraId="719154FC" w14:textId="77777777" w:rsidR="004F1E59" w:rsidRDefault="00590DCC">
      <w:pPr>
        <w:widowControl/>
        <w:shd w:val="clear" w:color="auto" w:fill="FFFFFF"/>
        <w:spacing w:line="360" w:lineRule="auto"/>
        <w:ind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（五）中医药管理相关标准化研究</w:t>
      </w:r>
    </w:p>
    <w:p w14:paraId="6F76305E" w14:textId="77777777" w:rsidR="004F1E59" w:rsidRDefault="00590DCC">
      <w:pPr>
        <w:widowControl/>
        <w:shd w:val="clear" w:color="auto" w:fill="FFFFFF"/>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开展中医药医疗保健、教育、科研管理等相关标准化研究，中医医疗保健服务机构人员和技术管理标准研究，中医医院信息化建设和管理标准的研究，中医医疗服务质量安全标准研究，中医药从业人员管理标准研究，中医从业人员管理标准化研究，中医药教育管理标准，中医药科研管理标准化研究及其他中医药管理相关标准化研究。</w:t>
      </w:r>
    </w:p>
    <w:p w14:paraId="242A8AD9" w14:textId="3F94C650" w:rsidR="004F1E59" w:rsidRDefault="00590DCC">
      <w:pPr>
        <w:widowControl/>
        <w:numPr>
          <w:ilvl w:val="255"/>
          <w:numId w:val="0"/>
        </w:numPr>
        <w:shd w:val="clear" w:color="auto" w:fill="FFFFFF"/>
        <w:spacing w:line="360" w:lineRule="auto"/>
        <w:ind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（六）民族医药</w:t>
      </w:r>
      <w:bookmarkStart w:id="0" w:name="_GoBack"/>
      <w:bookmarkEnd w:id="0"/>
    </w:p>
    <w:p w14:paraId="0F1D74B0" w14:textId="77777777" w:rsidR="004F1E59" w:rsidRDefault="00590DCC">
      <w:pPr>
        <w:widowControl/>
        <w:numPr>
          <w:ilvl w:val="255"/>
          <w:numId w:val="0"/>
        </w:numPr>
        <w:shd w:val="clear" w:color="auto" w:fill="FFFFFF"/>
        <w:spacing w:line="360" w:lineRule="auto"/>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围绕四川省具有特色优势的藏医药、羌医药、彝医药等民族医药体系，对前期研究基础好的民族药材开展有利于民族医药文化传承和产业发展的标准化研究。</w:t>
      </w:r>
    </w:p>
    <w:p w14:paraId="78122CD8" w14:textId="77777777" w:rsidR="004F1E59" w:rsidRDefault="00590DCC">
      <w:pPr>
        <w:widowControl/>
        <w:numPr>
          <w:ilvl w:val="255"/>
          <w:numId w:val="0"/>
        </w:numPr>
        <w:shd w:val="clear" w:color="auto" w:fill="FFFFFF"/>
        <w:spacing w:line="360" w:lineRule="auto"/>
        <w:ind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（七）其他</w:t>
      </w:r>
    </w:p>
    <w:p w14:paraId="6C4F616A" w14:textId="77777777" w:rsidR="004F1E59" w:rsidRDefault="00590DCC">
      <w:pPr>
        <w:widowControl/>
        <w:numPr>
          <w:ilvl w:val="255"/>
          <w:numId w:val="0"/>
        </w:numPr>
        <w:shd w:val="clear" w:color="auto" w:fill="FFFFFF"/>
        <w:spacing w:line="360" w:lineRule="auto"/>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开展其他中医药领域相关标准化研究。</w:t>
      </w:r>
    </w:p>
    <w:sectPr w:rsidR="004F1E59">
      <w:pgSz w:w="11910" w:h="16840"/>
      <w:pgMar w:top="1503" w:right="1162" w:bottom="1179" w:left="1678" w:header="0" w:footer="998"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17"/>
    <w:rsid w:val="000405AC"/>
    <w:rsid w:val="00043CD5"/>
    <w:rsid w:val="0006290A"/>
    <w:rsid w:val="00071646"/>
    <w:rsid w:val="00097994"/>
    <w:rsid w:val="000B3BBD"/>
    <w:rsid w:val="00112BE9"/>
    <w:rsid w:val="00132621"/>
    <w:rsid w:val="00175719"/>
    <w:rsid w:val="001B42FE"/>
    <w:rsid w:val="001C5E7C"/>
    <w:rsid w:val="00236C0D"/>
    <w:rsid w:val="00252090"/>
    <w:rsid w:val="0026020D"/>
    <w:rsid w:val="00276A85"/>
    <w:rsid w:val="00297A4F"/>
    <w:rsid w:val="002F2376"/>
    <w:rsid w:val="003308D6"/>
    <w:rsid w:val="00373A4F"/>
    <w:rsid w:val="003A15EC"/>
    <w:rsid w:val="003C6F41"/>
    <w:rsid w:val="003F2F57"/>
    <w:rsid w:val="003F756E"/>
    <w:rsid w:val="004361E7"/>
    <w:rsid w:val="004529F1"/>
    <w:rsid w:val="004736E8"/>
    <w:rsid w:val="004D1825"/>
    <w:rsid w:val="004F1E59"/>
    <w:rsid w:val="00590DCC"/>
    <w:rsid w:val="005B5608"/>
    <w:rsid w:val="005F7E67"/>
    <w:rsid w:val="006A367B"/>
    <w:rsid w:val="006D1952"/>
    <w:rsid w:val="00733605"/>
    <w:rsid w:val="007516F4"/>
    <w:rsid w:val="00774BAD"/>
    <w:rsid w:val="007F6BF3"/>
    <w:rsid w:val="00827C65"/>
    <w:rsid w:val="00857534"/>
    <w:rsid w:val="008C3C56"/>
    <w:rsid w:val="008F7684"/>
    <w:rsid w:val="009C7859"/>
    <w:rsid w:val="009D7E33"/>
    <w:rsid w:val="00A40B6F"/>
    <w:rsid w:val="00A60794"/>
    <w:rsid w:val="00B53028"/>
    <w:rsid w:val="00B83BEA"/>
    <w:rsid w:val="00B93FC7"/>
    <w:rsid w:val="00C15317"/>
    <w:rsid w:val="00D23B7F"/>
    <w:rsid w:val="00D711C7"/>
    <w:rsid w:val="00D82981"/>
    <w:rsid w:val="00DB327C"/>
    <w:rsid w:val="00DE64D8"/>
    <w:rsid w:val="00E20B07"/>
    <w:rsid w:val="00E278B7"/>
    <w:rsid w:val="00E71540"/>
    <w:rsid w:val="00EE3EA0"/>
    <w:rsid w:val="00F215E8"/>
    <w:rsid w:val="00F81BBF"/>
    <w:rsid w:val="09DD6316"/>
    <w:rsid w:val="0ECA781C"/>
    <w:rsid w:val="21BD6852"/>
    <w:rsid w:val="24A31D2E"/>
    <w:rsid w:val="260E546D"/>
    <w:rsid w:val="289E5BF9"/>
    <w:rsid w:val="2E076E9D"/>
    <w:rsid w:val="2E2B0D0D"/>
    <w:rsid w:val="3C4214F6"/>
    <w:rsid w:val="3D454688"/>
    <w:rsid w:val="44EB65A8"/>
    <w:rsid w:val="4A2C2067"/>
    <w:rsid w:val="4AD72DB2"/>
    <w:rsid w:val="54621866"/>
    <w:rsid w:val="620140E0"/>
    <w:rsid w:val="63AE611C"/>
    <w:rsid w:val="6D380935"/>
    <w:rsid w:val="784D2BEF"/>
    <w:rsid w:val="790B0FF4"/>
    <w:rsid w:val="7A601ED3"/>
    <w:rsid w:val="7B97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D407"/>
  <w15:docId w15:val="{7FA5E09A-C161-43FC-8705-1A852C69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locked="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黑体" w:hAnsi="Times New Roman"/>
      <w:b/>
      <w:bCs/>
      <w:kern w:val="44"/>
      <w:sz w:val="32"/>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0"/>
    <w:unhideWhenUsed/>
    <w:qFormat/>
    <w:locke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4"/>
    <w:next w:val="a"/>
    <w:link w:val="50"/>
    <w:qFormat/>
    <w:pPr>
      <w:outlineLvl w:val="4"/>
    </w:pPr>
    <w:rPr>
      <w:rFonts w:eastAsia="楷体_GB2312"/>
      <w:bCs w:val="0"/>
      <w:sz w:val="24"/>
    </w:rPr>
  </w:style>
  <w:style w:type="paragraph" w:styleId="6">
    <w:name w:val="heading 6"/>
    <w:basedOn w:val="a"/>
    <w:next w:val="a"/>
    <w:link w:val="60"/>
    <w:qFormat/>
    <w:pPr>
      <w:keepNext/>
      <w:keepLines/>
      <w:widowControl/>
      <w:tabs>
        <w:tab w:val="left" w:pos="2551"/>
      </w:tabs>
      <w:spacing w:before="240" w:after="64" w:line="320" w:lineRule="auto"/>
      <w:ind w:left="2551" w:hanging="850"/>
      <w:jc w:val="left"/>
      <w:outlineLvl w:val="5"/>
    </w:pPr>
    <w:rPr>
      <w:rFonts w:ascii="Arial" w:eastAsia="黑体" w:hAnsi="Arial" w:cs="Times New Roman"/>
      <w:b/>
      <w:bCs/>
      <w:kern w:val="0"/>
      <w:sz w:val="24"/>
      <w:szCs w:val="20"/>
    </w:rPr>
  </w:style>
  <w:style w:type="paragraph" w:styleId="7">
    <w:name w:val="heading 7"/>
    <w:basedOn w:val="a"/>
    <w:next w:val="a"/>
    <w:link w:val="70"/>
    <w:qFormat/>
    <w:pPr>
      <w:keepNext/>
      <w:keepLines/>
      <w:widowControl/>
      <w:tabs>
        <w:tab w:val="left" w:pos="3260"/>
      </w:tabs>
      <w:spacing w:before="240" w:after="64" w:line="320" w:lineRule="auto"/>
      <w:ind w:left="3260" w:hanging="1134"/>
      <w:jc w:val="left"/>
      <w:outlineLvl w:val="6"/>
    </w:pPr>
    <w:rPr>
      <w:rFonts w:ascii="Times New Roman" w:eastAsia="宋体" w:hAnsi="Times New Roman" w:cs="Times New Roman"/>
      <w:b/>
      <w:bCs/>
      <w:kern w:val="0"/>
      <w:sz w:val="24"/>
      <w:szCs w:val="20"/>
    </w:rPr>
  </w:style>
  <w:style w:type="paragraph" w:styleId="8">
    <w:name w:val="heading 8"/>
    <w:basedOn w:val="a"/>
    <w:next w:val="a"/>
    <w:link w:val="80"/>
    <w:qFormat/>
    <w:pPr>
      <w:keepNext/>
      <w:keepLines/>
      <w:widowControl/>
      <w:tabs>
        <w:tab w:val="left" w:pos="3827"/>
      </w:tabs>
      <w:spacing w:before="240" w:after="64" w:line="320" w:lineRule="auto"/>
      <w:ind w:left="3827" w:hanging="1276"/>
      <w:jc w:val="left"/>
      <w:outlineLvl w:val="7"/>
    </w:pPr>
    <w:rPr>
      <w:rFonts w:ascii="Arial" w:eastAsia="黑体" w:hAnsi="Arial" w:cs="Times New Roman"/>
      <w:kern w:val="0"/>
      <w:sz w:val="24"/>
      <w:szCs w:val="20"/>
    </w:rPr>
  </w:style>
  <w:style w:type="paragraph" w:styleId="9">
    <w:name w:val="heading 9"/>
    <w:basedOn w:val="a"/>
    <w:next w:val="a"/>
    <w:link w:val="90"/>
    <w:qFormat/>
    <w:pPr>
      <w:keepNext/>
      <w:keepLines/>
      <w:widowControl/>
      <w:tabs>
        <w:tab w:val="left" w:pos="4394"/>
      </w:tabs>
      <w:spacing w:before="240" w:after="64" w:line="320" w:lineRule="auto"/>
      <w:ind w:left="4394" w:hanging="1418"/>
      <w:jc w:val="left"/>
      <w:outlineLvl w:val="8"/>
    </w:pPr>
    <w:rPr>
      <w:rFonts w:ascii="Arial" w:eastAsia="黑体" w:hAnsi="Arial"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locked/>
    <w:rPr>
      <w:rFonts w:ascii="Arial" w:eastAsia="黑体" w:hAnsi="Arial" w:cs="Arial"/>
      <w:sz w:val="20"/>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0"/>
    <w:qFormat/>
    <w:rPr>
      <w:b/>
      <w:bCs/>
    </w:rPr>
  </w:style>
  <w:style w:type="character" w:styleId="a9">
    <w:name w:val="Emphasis"/>
    <w:basedOn w:val="a0"/>
    <w:qFormat/>
    <w:rPr>
      <w:i/>
      <w:iCs/>
    </w:rPr>
  </w:style>
  <w:style w:type="character" w:styleId="aa">
    <w:name w:val="Hyperlink"/>
    <w:basedOn w:val="a0"/>
    <w:uiPriority w:val="99"/>
    <w:unhideWhenUsed/>
    <w:qFormat/>
    <w:rPr>
      <w:color w:val="0000FF" w:themeColor="hyperlink"/>
      <w:u w:val="single"/>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qFormat/>
    <w:rPr>
      <w:rFonts w:ascii="Times New Roman" w:eastAsia="黑体" w:hAnsi="Times New Roman"/>
      <w:b/>
      <w:bCs/>
      <w:kern w:val="44"/>
      <w:sz w:val="32"/>
      <w:szCs w:val="44"/>
    </w:rPr>
  </w:style>
  <w:style w:type="character" w:customStyle="1" w:styleId="20">
    <w:name w:val="标题 2 字符"/>
    <w:basedOn w:val="a0"/>
    <w:link w:val="2"/>
    <w:qFormat/>
    <w:rPr>
      <w:rFonts w:ascii="Arial" w:eastAsia="黑体" w:hAnsi="Arial" w:cstheme="majorBidi"/>
      <w:b/>
      <w:bCs/>
      <w:sz w:val="32"/>
      <w:szCs w:val="32"/>
    </w:rPr>
  </w:style>
  <w:style w:type="paragraph" w:styleId="ab">
    <w:name w:val="List Paragraph"/>
    <w:basedOn w:val="a"/>
    <w:uiPriority w:val="34"/>
    <w:qFormat/>
    <w:pPr>
      <w:ind w:firstLineChars="200" w:firstLine="420"/>
    </w:pPr>
    <w:rPr>
      <w:rFonts w:ascii="Calibri" w:eastAsia="宋体" w:hAnsi="Calibri" w:cs="Times New Roman"/>
    </w:rPr>
  </w:style>
  <w:style w:type="character" w:customStyle="1" w:styleId="30">
    <w:name w:val="标题 3 字符"/>
    <w:basedOn w:val="a0"/>
    <w:link w:val="3"/>
    <w:qFormat/>
    <w:rPr>
      <w:rFonts w:ascii="Calibri" w:eastAsia="宋体" w:hAnsi="Calibri" w:cs="Times New Roman"/>
      <w:b/>
      <w:bCs/>
      <w:sz w:val="32"/>
      <w:szCs w:val="32"/>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50">
    <w:name w:val="标题 5 字符"/>
    <w:basedOn w:val="a0"/>
    <w:link w:val="5"/>
    <w:qFormat/>
    <w:rPr>
      <w:rFonts w:ascii="Arial" w:eastAsia="楷体_GB2312" w:hAnsi="Arial" w:cs="Times New Roman"/>
      <w:b/>
      <w:sz w:val="24"/>
      <w:szCs w:val="28"/>
    </w:rPr>
  </w:style>
  <w:style w:type="character" w:customStyle="1" w:styleId="60">
    <w:name w:val="标题 6 字符"/>
    <w:basedOn w:val="a0"/>
    <w:link w:val="6"/>
    <w:qFormat/>
    <w:rPr>
      <w:rFonts w:ascii="Arial" w:eastAsia="黑体" w:hAnsi="Arial" w:cs="Times New Roman"/>
      <w:b/>
      <w:bCs/>
      <w:kern w:val="0"/>
      <w:sz w:val="24"/>
      <w:szCs w:val="20"/>
    </w:rPr>
  </w:style>
  <w:style w:type="character" w:customStyle="1" w:styleId="70">
    <w:name w:val="标题 7 字符"/>
    <w:basedOn w:val="a0"/>
    <w:link w:val="7"/>
    <w:qFormat/>
    <w:rPr>
      <w:rFonts w:ascii="Times New Roman" w:eastAsia="宋体" w:hAnsi="Times New Roman" w:cs="Times New Roman"/>
      <w:b/>
      <w:bCs/>
      <w:kern w:val="0"/>
      <w:sz w:val="24"/>
      <w:szCs w:val="20"/>
    </w:rPr>
  </w:style>
  <w:style w:type="character" w:customStyle="1" w:styleId="80">
    <w:name w:val="标题 8 字符"/>
    <w:basedOn w:val="a0"/>
    <w:link w:val="8"/>
    <w:qFormat/>
    <w:rPr>
      <w:rFonts w:ascii="Arial" w:eastAsia="黑体" w:hAnsi="Arial" w:cs="Times New Roman"/>
      <w:kern w:val="0"/>
      <w:sz w:val="24"/>
      <w:szCs w:val="20"/>
    </w:rPr>
  </w:style>
  <w:style w:type="character" w:customStyle="1" w:styleId="90">
    <w:name w:val="标题 9 字符"/>
    <w:basedOn w:val="a0"/>
    <w:link w:val="9"/>
    <w:qFormat/>
    <w:rPr>
      <w:rFonts w:ascii="Arial" w:eastAsia="黑体" w:hAnsi="Arial" w:cs="Times New Roman"/>
      <w:kern w:val="0"/>
      <w:sz w:val="20"/>
      <w:szCs w:val="21"/>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djz</dc:creator>
  <cp:lastModifiedBy>du jiuzhen</cp:lastModifiedBy>
  <cp:revision>2</cp:revision>
  <cp:lastPrinted>2018-06-04T08:02:00Z</cp:lastPrinted>
  <dcterms:created xsi:type="dcterms:W3CDTF">2019-10-09T21:40:00Z</dcterms:created>
  <dcterms:modified xsi:type="dcterms:W3CDTF">2019-10-09T21:40:00Z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